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FDD0A05">
      <w:pPr>
        <w:jc w:val="both"/>
        <w:rPr>
          <w:rFonts w:hint="default" w:ascii="黑体" w:hAnsi="黑体" w:eastAsia="黑体" w:cs="黑体"/>
          <w:b w:val="0"/>
          <w:bCs/>
          <w:sz w:val="32"/>
          <w:szCs w:val="32"/>
          <w:lang w:val="en-US" w:eastAsia="zh-CN"/>
        </w:rPr>
      </w:pPr>
    </w:p>
    <w:p w14:paraId="41B935B3">
      <w:pPr>
        <w:keepNext w:val="0"/>
        <w:keepLines w:val="0"/>
        <w:widowControl/>
        <w:suppressLineNumbers w:val="0"/>
        <w:ind w:left="1770" w:hanging="1770" w:hangingChars="500"/>
        <w:jc w:val="left"/>
        <w:rPr>
          <w:rFonts w:hint="eastAsia" w:ascii="宋体" w:hAnsi="宋体"/>
          <w:b/>
          <w:sz w:val="36"/>
          <w:szCs w:val="36"/>
        </w:rPr>
      </w:pPr>
      <w:r>
        <w:rPr>
          <w:rFonts w:hint="eastAsia" w:ascii="宋体" w:hAnsi="宋体"/>
          <w:b/>
          <w:sz w:val="36"/>
          <w:szCs w:val="36"/>
          <w:lang w:eastAsia="zh-CN"/>
        </w:rPr>
        <w:t>中国致公党安庆市委员会202</w:t>
      </w:r>
      <w:r>
        <w:rPr>
          <w:rFonts w:hint="eastAsia" w:ascii="宋体" w:hAnsi="宋体"/>
          <w:b/>
          <w:sz w:val="36"/>
          <w:szCs w:val="36"/>
          <w:lang w:val="en-US" w:eastAsia="zh-CN"/>
        </w:rPr>
        <w:t>3</w:t>
      </w:r>
      <w:r>
        <w:rPr>
          <w:rFonts w:ascii="宋体" w:hAnsi="宋体"/>
          <w:b/>
          <w:sz w:val="36"/>
          <w:szCs w:val="36"/>
        </w:rPr>
        <w:t>年</w:t>
      </w:r>
      <w:r>
        <w:rPr>
          <w:rFonts w:hint="eastAsia" w:ascii="宋体" w:hAnsi="宋体"/>
          <w:b/>
          <w:sz w:val="36"/>
          <w:szCs w:val="36"/>
        </w:rPr>
        <w:t>度一般公共预算财政拨款</w:t>
      </w:r>
      <w:r>
        <w:rPr>
          <w:rFonts w:ascii="宋体" w:hAnsi="宋体"/>
          <w:b/>
          <w:sz w:val="36"/>
          <w:szCs w:val="36"/>
        </w:rPr>
        <w:t>“三公</w:t>
      </w:r>
      <w:r>
        <w:rPr>
          <w:rFonts w:hint="eastAsia" w:ascii="宋体" w:hAnsi="宋体"/>
          <w:b/>
          <w:sz w:val="36"/>
          <w:szCs w:val="36"/>
        </w:rPr>
        <w:t>”</w:t>
      </w:r>
      <w:r>
        <w:rPr>
          <w:rFonts w:ascii="宋体" w:hAnsi="宋体"/>
          <w:b/>
          <w:sz w:val="36"/>
          <w:szCs w:val="36"/>
        </w:rPr>
        <w:t>经费</w:t>
      </w:r>
      <w:r>
        <w:rPr>
          <w:rFonts w:hint="eastAsia" w:ascii="宋体" w:hAnsi="宋体"/>
          <w:b/>
          <w:sz w:val="36"/>
          <w:szCs w:val="36"/>
        </w:rPr>
        <w:t>支出决算</w:t>
      </w:r>
    </w:p>
    <w:p w14:paraId="1288CE0E">
      <w:pPr>
        <w:jc w:val="center"/>
        <w:rPr>
          <w:rFonts w:hint="eastAsia" w:ascii="楷体_GB2312" w:eastAsia="楷体_GB2312"/>
          <w:szCs w:val="32"/>
        </w:rPr>
      </w:pPr>
    </w:p>
    <w:p w14:paraId="3954F7C6">
      <w:pPr>
        <w:adjustRightInd w:val="0"/>
        <w:snapToGrid w:val="0"/>
        <w:spacing w:line="360" w:lineRule="auto"/>
        <w:jc w:val="center"/>
        <w:rPr>
          <w:rFonts w:hint="eastAsia" w:ascii="宋体" w:hAnsi="宋体"/>
          <w:sz w:val="6"/>
          <w:szCs w:val="32"/>
        </w:rPr>
      </w:pPr>
    </w:p>
    <w:p w14:paraId="56146B1B">
      <w:pPr>
        <w:rPr>
          <w:rFonts w:hint="eastAsia" w:ascii="黑体" w:hAnsi="黑体" w:eastAsia="黑体"/>
          <w:szCs w:val="32"/>
        </w:rPr>
      </w:pPr>
      <w:r>
        <w:rPr>
          <w:rFonts w:ascii="黑体" w:hAnsi="黑体" w:eastAsia="黑体"/>
          <w:szCs w:val="32"/>
        </w:rPr>
        <w:t xml:space="preserve">    </w:t>
      </w:r>
      <w:r>
        <w:rPr>
          <w:rFonts w:hint="eastAsia" w:ascii="黑体" w:hAnsi="黑体" w:eastAsia="黑体"/>
          <w:szCs w:val="32"/>
        </w:rPr>
        <w:t>一、</w:t>
      </w:r>
      <w:r>
        <w:rPr>
          <w:rFonts w:hint="eastAsia" w:ascii="黑体" w:hAnsi="黑体" w:eastAsia="黑体"/>
          <w:szCs w:val="32"/>
          <w:lang w:eastAsia="zh-CN"/>
        </w:rPr>
        <w:t>202</w:t>
      </w:r>
      <w:r>
        <w:rPr>
          <w:rFonts w:hint="eastAsia" w:ascii="黑体" w:hAnsi="黑体" w:eastAsia="黑体"/>
          <w:szCs w:val="32"/>
          <w:lang w:val="en-US" w:eastAsia="zh-CN"/>
        </w:rPr>
        <w:t>3</w:t>
      </w:r>
      <w:r>
        <w:rPr>
          <w:rFonts w:hint="eastAsia" w:ascii="黑体" w:hAnsi="黑体" w:eastAsia="黑体"/>
          <w:szCs w:val="32"/>
        </w:rPr>
        <w:t>年度一般公共预算财政拨款“三公”经费支出决算表</w:t>
      </w:r>
    </w:p>
    <w:p w14:paraId="5F545D66">
      <w:pPr>
        <w:ind w:firstLine="7216" w:firstLineChars="2298"/>
        <w:rPr>
          <w:rFonts w:hint="eastAsia" w:ascii="黑体" w:hAnsi="黑体" w:eastAsia="黑体"/>
          <w:szCs w:val="32"/>
        </w:rPr>
      </w:pPr>
      <w:r>
        <w:rPr>
          <w:rFonts w:hint="eastAsia" w:ascii="仿宋_GB2312" w:hAnsi="仿宋_GB2312" w:cs="仿宋_GB2312"/>
          <w:szCs w:val="32"/>
        </w:rPr>
        <w:t>单位：万元</w:t>
      </w:r>
    </w:p>
    <w:tbl>
      <w:tblPr>
        <w:tblStyle w:val="4"/>
        <w:tblpPr w:leftFromText="180" w:rightFromText="180" w:vertAnchor="text" w:horzAnchor="margin" w:tblpY="454"/>
        <w:tblOverlap w:val="never"/>
        <w:tblW w:w="0" w:type="auto"/>
        <w:tblInd w:w="0" w:type="dxa"/>
        <w:tblLayout w:type="fixed"/>
        <w:tblCellMar>
          <w:top w:w="0" w:type="dxa"/>
          <w:left w:w="108" w:type="dxa"/>
          <w:bottom w:w="0" w:type="dxa"/>
          <w:right w:w="108" w:type="dxa"/>
        </w:tblCellMar>
      </w:tblPr>
      <w:tblGrid>
        <w:gridCol w:w="4379"/>
        <w:gridCol w:w="2157"/>
        <w:gridCol w:w="2220"/>
      </w:tblGrid>
      <w:tr w14:paraId="76D73124">
        <w:tblPrEx>
          <w:tblCellMar>
            <w:top w:w="0" w:type="dxa"/>
            <w:left w:w="108" w:type="dxa"/>
            <w:bottom w:w="0" w:type="dxa"/>
            <w:right w:w="108" w:type="dxa"/>
          </w:tblCellMar>
        </w:tblPrEx>
        <w:trPr>
          <w:trHeight w:val="397" w:hRule="atLeast"/>
        </w:trPr>
        <w:tc>
          <w:tcPr>
            <w:tcW w:w="4379" w:type="dxa"/>
            <w:tcBorders>
              <w:top w:val="single" w:color="auto" w:sz="4" w:space="0"/>
              <w:left w:val="single" w:color="auto" w:sz="4" w:space="0"/>
              <w:bottom w:val="single" w:color="auto" w:sz="4" w:space="0"/>
              <w:right w:val="single" w:color="auto" w:sz="4" w:space="0"/>
            </w:tcBorders>
            <w:noWrap w:val="0"/>
            <w:vAlign w:val="center"/>
          </w:tcPr>
          <w:p w14:paraId="5AF3CF55">
            <w:pPr>
              <w:widowControl/>
              <w:jc w:val="center"/>
              <w:rPr>
                <w:rFonts w:ascii="宋体" w:hAnsi="宋体" w:cs="宋体"/>
                <w:b/>
                <w:bCs/>
                <w:kern w:val="0"/>
                <w:szCs w:val="21"/>
              </w:rPr>
            </w:pPr>
            <w:r>
              <w:rPr>
                <w:rFonts w:hint="eastAsia" w:ascii="宋体" w:hAnsi="宋体" w:cs="宋体"/>
                <w:b/>
                <w:bCs/>
                <w:kern w:val="0"/>
                <w:szCs w:val="21"/>
              </w:rPr>
              <w:t>项  目</w:t>
            </w:r>
          </w:p>
        </w:tc>
        <w:tc>
          <w:tcPr>
            <w:tcW w:w="2157" w:type="dxa"/>
            <w:tcBorders>
              <w:top w:val="single" w:color="auto" w:sz="4" w:space="0"/>
              <w:left w:val="nil"/>
              <w:bottom w:val="single" w:color="auto" w:sz="4" w:space="0"/>
              <w:right w:val="single" w:color="auto" w:sz="4" w:space="0"/>
            </w:tcBorders>
            <w:noWrap w:val="0"/>
            <w:vAlign w:val="center"/>
          </w:tcPr>
          <w:p w14:paraId="1070DDD0">
            <w:pPr>
              <w:widowControl/>
              <w:jc w:val="center"/>
              <w:rPr>
                <w:rFonts w:ascii="宋体" w:hAnsi="宋体" w:cs="宋体"/>
                <w:b/>
                <w:bCs/>
                <w:kern w:val="0"/>
                <w:szCs w:val="21"/>
              </w:rPr>
            </w:pPr>
            <w:r>
              <w:rPr>
                <w:rFonts w:hint="eastAsia" w:ascii="宋体" w:hAnsi="宋体" w:cs="宋体"/>
                <w:b/>
                <w:bCs/>
                <w:kern w:val="0"/>
                <w:szCs w:val="21"/>
              </w:rPr>
              <w:t>预 算 数</w:t>
            </w:r>
          </w:p>
        </w:tc>
        <w:tc>
          <w:tcPr>
            <w:tcW w:w="2220" w:type="dxa"/>
            <w:tcBorders>
              <w:top w:val="single" w:color="auto" w:sz="4" w:space="0"/>
              <w:left w:val="nil"/>
              <w:bottom w:val="single" w:color="auto" w:sz="4" w:space="0"/>
              <w:right w:val="single" w:color="auto" w:sz="4" w:space="0"/>
            </w:tcBorders>
            <w:noWrap w:val="0"/>
            <w:vAlign w:val="center"/>
          </w:tcPr>
          <w:p w14:paraId="42D417E9">
            <w:pPr>
              <w:widowControl/>
              <w:jc w:val="center"/>
              <w:rPr>
                <w:rFonts w:ascii="宋体" w:hAnsi="宋体" w:cs="宋体"/>
                <w:b/>
                <w:bCs/>
                <w:kern w:val="0"/>
                <w:szCs w:val="21"/>
              </w:rPr>
            </w:pPr>
            <w:r>
              <w:rPr>
                <w:rFonts w:hint="eastAsia" w:ascii="宋体" w:hAnsi="宋体" w:cs="宋体"/>
                <w:b/>
                <w:bCs/>
                <w:kern w:val="0"/>
                <w:szCs w:val="21"/>
              </w:rPr>
              <w:t>决 算 数</w:t>
            </w:r>
          </w:p>
        </w:tc>
      </w:tr>
      <w:tr w14:paraId="49D4C46B">
        <w:tblPrEx>
          <w:tblCellMar>
            <w:top w:w="0" w:type="dxa"/>
            <w:left w:w="108" w:type="dxa"/>
            <w:bottom w:w="0" w:type="dxa"/>
            <w:right w:w="108" w:type="dxa"/>
          </w:tblCellMar>
        </w:tblPrEx>
        <w:trPr>
          <w:trHeight w:val="397" w:hRule="atLeast"/>
        </w:trPr>
        <w:tc>
          <w:tcPr>
            <w:tcW w:w="4379" w:type="dxa"/>
            <w:tcBorders>
              <w:top w:val="nil"/>
              <w:left w:val="single" w:color="auto" w:sz="4" w:space="0"/>
              <w:bottom w:val="single" w:color="auto" w:sz="4" w:space="0"/>
              <w:right w:val="single" w:color="auto" w:sz="4" w:space="0"/>
            </w:tcBorders>
            <w:noWrap w:val="0"/>
            <w:vAlign w:val="center"/>
          </w:tcPr>
          <w:p w14:paraId="5D05D241">
            <w:pPr>
              <w:widowControl/>
              <w:jc w:val="center"/>
              <w:rPr>
                <w:rFonts w:ascii="宋体" w:hAnsi="宋体" w:cs="宋体"/>
                <w:b/>
                <w:bCs/>
                <w:kern w:val="0"/>
                <w:szCs w:val="21"/>
              </w:rPr>
            </w:pPr>
            <w:r>
              <w:rPr>
                <w:rFonts w:hint="eastAsia" w:ascii="宋体" w:hAnsi="宋体" w:cs="宋体"/>
                <w:b/>
                <w:bCs/>
                <w:kern w:val="0"/>
                <w:szCs w:val="21"/>
              </w:rPr>
              <w:t>合  计</w:t>
            </w:r>
          </w:p>
        </w:tc>
        <w:tc>
          <w:tcPr>
            <w:tcW w:w="2157" w:type="dxa"/>
            <w:tcBorders>
              <w:top w:val="nil"/>
              <w:left w:val="nil"/>
              <w:bottom w:val="single" w:color="auto" w:sz="4" w:space="0"/>
              <w:right w:val="single" w:color="auto" w:sz="4" w:space="0"/>
            </w:tcBorders>
            <w:noWrap w:val="0"/>
            <w:vAlign w:val="center"/>
          </w:tcPr>
          <w:p w14:paraId="05EF39D6">
            <w:pPr>
              <w:widowControl/>
              <w:jc w:val="center"/>
              <w:rPr>
                <w:rFonts w:ascii="宋体" w:hAnsi="宋体" w:cs="宋体"/>
                <w:b/>
                <w:bCs/>
                <w:kern w:val="0"/>
                <w:szCs w:val="21"/>
              </w:rPr>
            </w:pPr>
            <w:r>
              <w:rPr>
                <w:rFonts w:hint="eastAsia" w:ascii="宋体" w:hAnsi="宋体" w:cs="宋体"/>
                <w:kern w:val="0"/>
                <w:szCs w:val="21"/>
              </w:rPr>
              <w:t>0.15</w:t>
            </w:r>
            <w:r>
              <w:rPr>
                <w:rFonts w:hint="eastAsia" w:ascii="宋体" w:hAnsi="宋体" w:cs="宋体"/>
                <w:b/>
                <w:bCs/>
                <w:kern w:val="0"/>
                <w:szCs w:val="21"/>
              </w:rPr>
              <w:t>　</w:t>
            </w:r>
          </w:p>
        </w:tc>
        <w:tc>
          <w:tcPr>
            <w:tcW w:w="2220" w:type="dxa"/>
            <w:tcBorders>
              <w:top w:val="nil"/>
              <w:left w:val="nil"/>
              <w:bottom w:val="single" w:color="auto" w:sz="4" w:space="0"/>
              <w:right w:val="single" w:color="auto" w:sz="4" w:space="0"/>
            </w:tcBorders>
            <w:noWrap w:val="0"/>
            <w:vAlign w:val="center"/>
          </w:tcPr>
          <w:p w14:paraId="5F465158">
            <w:pPr>
              <w:widowControl/>
              <w:jc w:val="center"/>
              <w:rPr>
                <w:rFonts w:ascii="宋体" w:hAnsi="宋体" w:cs="宋体"/>
                <w:b/>
                <w:bCs/>
                <w:kern w:val="0"/>
                <w:szCs w:val="21"/>
              </w:rPr>
            </w:pPr>
            <w:r>
              <w:rPr>
                <w:rFonts w:hint="eastAsia" w:ascii="宋体" w:hAnsi="宋体" w:cs="宋体"/>
                <w:kern w:val="0"/>
                <w:szCs w:val="21"/>
              </w:rPr>
              <w:t>0.15</w:t>
            </w:r>
            <w:r>
              <w:rPr>
                <w:rFonts w:hint="eastAsia" w:ascii="宋体" w:hAnsi="宋体" w:cs="宋体"/>
                <w:b/>
                <w:bCs/>
                <w:kern w:val="0"/>
                <w:szCs w:val="21"/>
              </w:rPr>
              <w:t>　</w:t>
            </w:r>
          </w:p>
        </w:tc>
      </w:tr>
      <w:tr w14:paraId="23F3AC24">
        <w:tblPrEx>
          <w:tblCellMar>
            <w:top w:w="0" w:type="dxa"/>
            <w:left w:w="108" w:type="dxa"/>
            <w:bottom w:w="0" w:type="dxa"/>
            <w:right w:w="108" w:type="dxa"/>
          </w:tblCellMar>
        </w:tblPrEx>
        <w:trPr>
          <w:trHeight w:val="397" w:hRule="atLeast"/>
        </w:trPr>
        <w:tc>
          <w:tcPr>
            <w:tcW w:w="4379" w:type="dxa"/>
            <w:tcBorders>
              <w:top w:val="nil"/>
              <w:left w:val="single" w:color="auto" w:sz="4" w:space="0"/>
              <w:bottom w:val="single" w:color="auto" w:sz="4" w:space="0"/>
              <w:right w:val="single" w:color="auto" w:sz="4" w:space="0"/>
            </w:tcBorders>
            <w:noWrap w:val="0"/>
            <w:vAlign w:val="center"/>
          </w:tcPr>
          <w:p w14:paraId="6B6E2C2C">
            <w:pPr>
              <w:widowControl/>
              <w:jc w:val="left"/>
              <w:rPr>
                <w:rFonts w:ascii="宋体" w:hAnsi="宋体" w:cs="宋体"/>
                <w:kern w:val="0"/>
                <w:szCs w:val="21"/>
              </w:rPr>
            </w:pPr>
            <w:r>
              <w:rPr>
                <w:rFonts w:hint="eastAsia" w:ascii="宋体" w:hAnsi="宋体" w:cs="宋体"/>
                <w:kern w:val="0"/>
                <w:szCs w:val="21"/>
              </w:rPr>
              <w:t>因公出国（境）费</w:t>
            </w:r>
          </w:p>
        </w:tc>
        <w:tc>
          <w:tcPr>
            <w:tcW w:w="2157" w:type="dxa"/>
            <w:tcBorders>
              <w:top w:val="nil"/>
              <w:left w:val="nil"/>
              <w:bottom w:val="single" w:color="auto" w:sz="4" w:space="0"/>
              <w:right w:val="single" w:color="auto" w:sz="4" w:space="0"/>
            </w:tcBorders>
            <w:noWrap w:val="0"/>
            <w:vAlign w:val="bottom"/>
          </w:tcPr>
          <w:p w14:paraId="09A0A1C2">
            <w:pPr>
              <w:widowControl/>
              <w:jc w:val="left"/>
              <w:rPr>
                <w:rFonts w:ascii="宋体" w:hAnsi="宋体" w:cs="宋体"/>
                <w:kern w:val="0"/>
                <w:szCs w:val="21"/>
              </w:rPr>
            </w:pPr>
            <w:r>
              <w:rPr>
                <w:rFonts w:hint="eastAsia" w:ascii="宋体" w:hAnsi="宋体" w:cs="宋体"/>
                <w:kern w:val="0"/>
                <w:szCs w:val="21"/>
              </w:rPr>
              <w:t>　</w:t>
            </w:r>
            <w:r>
              <w:rPr>
                <w:rFonts w:hint="eastAsia" w:ascii="宋体" w:hAnsi="宋体" w:cs="宋体"/>
                <w:kern w:val="0"/>
                <w:szCs w:val="21"/>
                <w:lang w:val="en-US" w:eastAsia="zh-CN"/>
              </w:rPr>
              <w:t xml:space="preserve">    </w:t>
            </w:r>
            <w:r>
              <w:rPr>
                <w:rFonts w:hint="eastAsia" w:ascii="宋体" w:hAnsi="宋体" w:cs="宋体"/>
                <w:kern w:val="0"/>
                <w:szCs w:val="21"/>
              </w:rPr>
              <w:t>0</w:t>
            </w:r>
          </w:p>
        </w:tc>
        <w:tc>
          <w:tcPr>
            <w:tcW w:w="2220" w:type="dxa"/>
            <w:tcBorders>
              <w:top w:val="nil"/>
              <w:left w:val="nil"/>
              <w:bottom w:val="single" w:color="auto" w:sz="4" w:space="0"/>
              <w:right w:val="single" w:color="auto" w:sz="4" w:space="0"/>
            </w:tcBorders>
            <w:noWrap w:val="0"/>
            <w:vAlign w:val="bottom"/>
          </w:tcPr>
          <w:p w14:paraId="1FF50E26">
            <w:pPr>
              <w:widowControl/>
              <w:jc w:val="left"/>
              <w:rPr>
                <w:rFonts w:ascii="宋体" w:hAnsi="宋体" w:cs="宋体"/>
                <w:kern w:val="0"/>
                <w:szCs w:val="21"/>
              </w:rPr>
            </w:pPr>
            <w:r>
              <w:rPr>
                <w:rFonts w:hint="eastAsia" w:ascii="宋体" w:hAnsi="宋体" w:cs="宋体"/>
                <w:kern w:val="0"/>
                <w:szCs w:val="21"/>
              </w:rPr>
              <w:t>　</w:t>
            </w:r>
            <w:r>
              <w:rPr>
                <w:rFonts w:hint="eastAsia" w:ascii="宋体" w:hAnsi="宋体" w:cs="宋体"/>
                <w:kern w:val="0"/>
                <w:szCs w:val="21"/>
                <w:lang w:val="en-US" w:eastAsia="zh-CN"/>
              </w:rPr>
              <w:t xml:space="preserve">    </w:t>
            </w:r>
            <w:r>
              <w:rPr>
                <w:rFonts w:hint="eastAsia" w:ascii="宋体" w:hAnsi="宋体" w:cs="宋体"/>
                <w:kern w:val="0"/>
                <w:szCs w:val="21"/>
              </w:rPr>
              <w:t>0</w:t>
            </w:r>
          </w:p>
        </w:tc>
      </w:tr>
      <w:tr w14:paraId="56DAEE7B">
        <w:tblPrEx>
          <w:tblCellMar>
            <w:top w:w="0" w:type="dxa"/>
            <w:left w:w="108" w:type="dxa"/>
            <w:bottom w:w="0" w:type="dxa"/>
            <w:right w:w="108" w:type="dxa"/>
          </w:tblCellMar>
        </w:tblPrEx>
        <w:trPr>
          <w:trHeight w:val="397" w:hRule="atLeast"/>
        </w:trPr>
        <w:tc>
          <w:tcPr>
            <w:tcW w:w="4379" w:type="dxa"/>
            <w:tcBorders>
              <w:top w:val="nil"/>
              <w:left w:val="single" w:color="auto" w:sz="4" w:space="0"/>
              <w:bottom w:val="single" w:color="auto" w:sz="4" w:space="0"/>
              <w:right w:val="single" w:color="auto" w:sz="4" w:space="0"/>
            </w:tcBorders>
            <w:noWrap w:val="0"/>
            <w:vAlign w:val="center"/>
          </w:tcPr>
          <w:p w14:paraId="78AC9049">
            <w:pPr>
              <w:widowControl/>
              <w:jc w:val="left"/>
              <w:rPr>
                <w:rFonts w:ascii="宋体" w:hAnsi="宋体" w:cs="宋体"/>
                <w:kern w:val="0"/>
                <w:szCs w:val="21"/>
              </w:rPr>
            </w:pPr>
            <w:r>
              <w:rPr>
                <w:rFonts w:hint="eastAsia" w:ascii="宋体" w:hAnsi="宋体" w:cs="宋体"/>
                <w:kern w:val="0"/>
                <w:szCs w:val="21"/>
              </w:rPr>
              <w:t>公务接待费</w:t>
            </w:r>
          </w:p>
        </w:tc>
        <w:tc>
          <w:tcPr>
            <w:tcW w:w="2157" w:type="dxa"/>
            <w:tcBorders>
              <w:top w:val="nil"/>
              <w:left w:val="nil"/>
              <w:bottom w:val="single" w:color="auto" w:sz="4" w:space="0"/>
              <w:right w:val="single" w:color="auto" w:sz="4" w:space="0"/>
            </w:tcBorders>
            <w:noWrap w:val="0"/>
            <w:vAlign w:val="bottom"/>
          </w:tcPr>
          <w:p w14:paraId="166D8603">
            <w:pPr>
              <w:widowControl/>
              <w:ind w:firstLine="314" w:firstLineChars="100"/>
              <w:jc w:val="left"/>
              <w:rPr>
                <w:rFonts w:ascii="宋体" w:hAnsi="宋体" w:cs="宋体"/>
                <w:kern w:val="0"/>
                <w:szCs w:val="21"/>
              </w:rPr>
            </w:pPr>
            <w:r>
              <w:rPr>
                <w:rFonts w:hint="eastAsia" w:ascii="宋体" w:hAnsi="宋体" w:cs="宋体"/>
                <w:kern w:val="0"/>
                <w:szCs w:val="21"/>
              </w:rPr>
              <w:t>　0.15</w:t>
            </w:r>
          </w:p>
        </w:tc>
        <w:tc>
          <w:tcPr>
            <w:tcW w:w="2220" w:type="dxa"/>
            <w:tcBorders>
              <w:top w:val="nil"/>
              <w:left w:val="nil"/>
              <w:bottom w:val="single" w:color="auto" w:sz="4" w:space="0"/>
              <w:right w:val="single" w:color="auto" w:sz="4" w:space="0"/>
            </w:tcBorders>
            <w:noWrap w:val="0"/>
            <w:vAlign w:val="bottom"/>
          </w:tcPr>
          <w:p w14:paraId="25B747A8">
            <w:pPr>
              <w:widowControl/>
              <w:ind w:firstLine="314" w:firstLineChars="100"/>
              <w:jc w:val="left"/>
              <w:rPr>
                <w:rFonts w:ascii="宋体" w:hAnsi="宋体" w:cs="宋体"/>
                <w:kern w:val="0"/>
                <w:szCs w:val="21"/>
              </w:rPr>
            </w:pPr>
            <w:r>
              <w:rPr>
                <w:rFonts w:hint="eastAsia" w:ascii="宋体" w:hAnsi="宋体" w:cs="宋体"/>
                <w:kern w:val="0"/>
                <w:szCs w:val="21"/>
              </w:rPr>
              <w:t>　0.15</w:t>
            </w:r>
          </w:p>
        </w:tc>
      </w:tr>
      <w:tr w14:paraId="3C238A31">
        <w:tblPrEx>
          <w:tblCellMar>
            <w:top w:w="0" w:type="dxa"/>
            <w:left w:w="108" w:type="dxa"/>
            <w:bottom w:w="0" w:type="dxa"/>
            <w:right w:w="108" w:type="dxa"/>
          </w:tblCellMar>
        </w:tblPrEx>
        <w:trPr>
          <w:trHeight w:val="397" w:hRule="atLeast"/>
        </w:trPr>
        <w:tc>
          <w:tcPr>
            <w:tcW w:w="4379" w:type="dxa"/>
            <w:tcBorders>
              <w:top w:val="nil"/>
              <w:left w:val="single" w:color="auto" w:sz="4" w:space="0"/>
              <w:bottom w:val="single" w:color="auto" w:sz="4" w:space="0"/>
              <w:right w:val="single" w:color="auto" w:sz="4" w:space="0"/>
            </w:tcBorders>
            <w:noWrap w:val="0"/>
            <w:vAlign w:val="center"/>
          </w:tcPr>
          <w:p w14:paraId="0FA200B1">
            <w:pPr>
              <w:widowControl/>
              <w:jc w:val="left"/>
              <w:rPr>
                <w:rFonts w:ascii="宋体" w:hAnsi="宋体" w:cs="宋体"/>
                <w:kern w:val="0"/>
                <w:szCs w:val="21"/>
              </w:rPr>
            </w:pPr>
            <w:r>
              <w:rPr>
                <w:rFonts w:hint="eastAsia" w:ascii="宋体" w:hAnsi="宋体" w:cs="宋体"/>
                <w:kern w:val="0"/>
                <w:szCs w:val="21"/>
              </w:rPr>
              <w:t>公务用车购置及运行维护费</w:t>
            </w:r>
          </w:p>
        </w:tc>
        <w:tc>
          <w:tcPr>
            <w:tcW w:w="2157" w:type="dxa"/>
            <w:tcBorders>
              <w:top w:val="nil"/>
              <w:left w:val="nil"/>
              <w:bottom w:val="single" w:color="auto" w:sz="4" w:space="0"/>
              <w:right w:val="single" w:color="auto" w:sz="4" w:space="0"/>
            </w:tcBorders>
            <w:noWrap w:val="0"/>
            <w:vAlign w:val="bottom"/>
          </w:tcPr>
          <w:p w14:paraId="0ED2022F">
            <w:pPr>
              <w:widowControl/>
              <w:jc w:val="left"/>
              <w:rPr>
                <w:rFonts w:ascii="宋体" w:hAnsi="宋体" w:cs="宋体"/>
                <w:kern w:val="0"/>
                <w:szCs w:val="21"/>
              </w:rPr>
            </w:pPr>
            <w:r>
              <w:rPr>
                <w:rFonts w:hint="eastAsia" w:ascii="宋体" w:hAnsi="宋体" w:cs="宋体"/>
                <w:kern w:val="0"/>
                <w:szCs w:val="21"/>
              </w:rPr>
              <w:t>　</w:t>
            </w:r>
            <w:r>
              <w:rPr>
                <w:rFonts w:hint="eastAsia" w:ascii="宋体" w:hAnsi="宋体" w:cs="宋体"/>
                <w:kern w:val="0"/>
                <w:szCs w:val="21"/>
                <w:lang w:val="en-US" w:eastAsia="zh-CN"/>
              </w:rPr>
              <w:t xml:space="preserve">    </w:t>
            </w:r>
            <w:r>
              <w:rPr>
                <w:rFonts w:hint="eastAsia" w:ascii="宋体" w:hAnsi="宋体" w:cs="宋体"/>
                <w:kern w:val="0"/>
                <w:szCs w:val="21"/>
              </w:rPr>
              <w:t>0</w:t>
            </w:r>
          </w:p>
        </w:tc>
        <w:tc>
          <w:tcPr>
            <w:tcW w:w="2220" w:type="dxa"/>
            <w:tcBorders>
              <w:top w:val="nil"/>
              <w:left w:val="nil"/>
              <w:bottom w:val="single" w:color="auto" w:sz="4" w:space="0"/>
              <w:right w:val="single" w:color="auto" w:sz="4" w:space="0"/>
            </w:tcBorders>
            <w:noWrap w:val="0"/>
            <w:vAlign w:val="bottom"/>
          </w:tcPr>
          <w:p w14:paraId="1841EE14">
            <w:pPr>
              <w:widowControl/>
              <w:jc w:val="left"/>
              <w:rPr>
                <w:rFonts w:ascii="宋体" w:hAnsi="宋体" w:cs="宋体"/>
                <w:kern w:val="0"/>
                <w:szCs w:val="21"/>
              </w:rPr>
            </w:pPr>
            <w:r>
              <w:rPr>
                <w:rFonts w:hint="eastAsia" w:ascii="宋体" w:hAnsi="宋体" w:cs="宋体"/>
                <w:kern w:val="0"/>
                <w:szCs w:val="21"/>
              </w:rPr>
              <w:t>　</w:t>
            </w:r>
            <w:r>
              <w:rPr>
                <w:rFonts w:hint="eastAsia" w:ascii="宋体" w:hAnsi="宋体" w:cs="宋体"/>
                <w:kern w:val="0"/>
                <w:szCs w:val="21"/>
                <w:lang w:val="en-US" w:eastAsia="zh-CN"/>
              </w:rPr>
              <w:t xml:space="preserve">    </w:t>
            </w:r>
            <w:r>
              <w:rPr>
                <w:rFonts w:hint="eastAsia" w:ascii="宋体" w:hAnsi="宋体" w:cs="宋体"/>
                <w:kern w:val="0"/>
                <w:szCs w:val="21"/>
              </w:rPr>
              <w:t>0</w:t>
            </w:r>
          </w:p>
        </w:tc>
      </w:tr>
      <w:tr w14:paraId="4EFD4544">
        <w:tblPrEx>
          <w:tblCellMar>
            <w:top w:w="0" w:type="dxa"/>
            <w:left w:w="108" w:type="dxa"/>
            <w:bottom w:w="0" w:type="dxa"/>
            <w:right w:w="108" w:type="dxa"/>
          </w:tblCellMar>
        </w:tblPrEx>
        <w:trPr>
          <w:trHeight w:val="397" w:hRule="atLeast"/>
        </w:trPr>
        <w:tc>
          <w:tcPr>
            <w:tcW w:w="4379" w:type="dxa"/>
            <w:tcBorders>
              <w:top w:val="nil"/>
              <w:left w:val="single" w:color="auto" w:sz="4" w:space="0"/>
              <w:bottom w:val="single" w:color="auto" w:sz="4" w:space="0"/>
              <w:right w:val="single" w:color="auto" w:sz="4" w:space="0"/>
            </w:tcBorders>
            <w:noWrap w:val="0"/>
            <w:vAlign w:val="center"/>
          </w:tcPr>
          <w:p w14:paraId="3FA03459">
            <w:pPr>
              <w:widowControl/>
              <w:jc w:val="left"/>
              <w:rPr>
                <w:rFonts w:ascii="宋体" w:hAnsi="宋体" w:cs="宋体"/>
                <w:kern w:val="0"/>
                <w:szCs w:val="21"/>
              </w:rPr>
            </w:pPr>
            <w:r>
              <w:rPr>
                <w:rFonts w:hint="eastAsia" w:ascii="宋体" w:hAnsi="宋体" w:cs="宋体"/>
                <w:kern w:val="0"/>
                <w:szCs w:val="21"/>
              </w:rPr>
              <w:t xml:space="preserve">  其中：公务用车购置费</w:t>
            </w:r>
          </w:p>
        </w:tc>
        <w:tc>
          <w:tcPr>
            <w:tcW w:w="2157" w:type="dxa"/>
            <w:tcBorders>
              <w:top w:val="nil"/>
              <w:left w:val="nil"/>
              <w:bottom w:val="single" w:color="auto" w:sz="4" w:space="0"/>
              <w:right w:val="single" w:color="auto" w:sz="4" w:space="0"/>
            </w:tcBorders>
            <w:noWrap w:val="0"/>
            <w:vAlign w:val="bottom"/>
          </w:tcPr>
          <w:p w14:paraId="12E17A80">
            <w:pPr>
              <w:widowControl/>
              <w:jc w:val="left"/>
              <w:rPr>
                <w:rFonts w:ascii="宋体" w:hAnsi="宋体" w:cs="宋体"/>
                <w:kern w:val="0"/>
                <w:szCs w:val="21"/>
              </w:rPr>
            </w:pPr>
            <w:r>
              <w:rPr>
                <w:rFonts w:hint="eastAsia" w:ascii="宋体" w:hAnsi="宋体" w:cs="宋体"/>
                <w:kern w:val="0"/>
                <w:szCs w:val="21"/>
              </w:rPr>
              <w:t>　</w:t>
            </w:r>
            <w:r>
              <w:rPr>
                <w:rFonts w:hint="eastAsia" w:ascii="宋体" w:hAnsi="宋体" w:cs="宋体"/>
                <w:kern w:val="0"/>
                <w:szCs w:val="21"/>
                <w:lang w:val="en-US" w:eastAsia="zh-CN"/>
              </w:rPr>
              <w:t xml:space="preserve">    </w:t>
            </w:r>
            <w:r>
              <w:rPr>
                <w:rFonts w:hint="eastAsia" w:ascii="宋体" w:hAnsi="宋体" w:cs="宋体"/>
                <w:kern w:val="0"/>
                <w:szCs w:val="21"/>
              </w:rPr>
              <w:t>0</w:t>
            </w:r>
          </w:p>
        </w:tc>
        <w:tc>
          <w:tcPr>
            <w:tcW w:w="2220" w:type="dxa"/>
            <w:tcBorders>
              <w:top w:val="nil"/>
              <w:left w:val="nil"/>
              <w:bottom w:val="single" w:color="auto" w:sz="4" w:space="0"/>
              <w:right w:val="single" w:color="auto" w:sz="4" w:space="0"/>
            </w:tcBorders>
            <w:noWrap w:val="0"/>
            <w:vAlign w:val="bottom"/>
          </w:tcPr>
          <w:p w14:paraId="0B142712">
            <w:pPr>
              <w:widowControl/>
              <w:jc w:val="left"/>
              <w:rPr>
                <w:rFonts w:ascii="宋体" w:hAnsi="宋体" w:cs="宋体"/>
                <w:kern w:val="0"/>
                <w:szCs w:val="21"/>
              </w:rPr>
            </w:pPr>
            <w:r>
              <w:rPr>
                <w:rFonts w:hint="eastAsia" w:ascii="宋体" w:hAnsi="宋体" w:cs="宋体"/>
                <w:kern w:val="0"/>
                <w:szCs w:val="21"/>
              </w:rPr>
              <w:t>　</w:t>
            </w:r>
            <w:r>
              <w:rPr>
                <w:rFonts w:hint="eastAsia" w:ascii="宋体" w:hAnsi="宋体" w:cs="宋体"/>
                <w:kern w:val="0"/>
                <w:szCs w:val="21"/>
                <w:lang w:val="en-US" w:eastAsia="zh-CN"/>
              </w:rPr>
              <w:t xml:space="preserve">    </w:t>
            </w:r>
            <w:r>
              <w:rPr>
                <w:rFonts w:hint="eastAsia" w:ascii="宋体" w:hAnsi="宋体" w:cs="宋体"/>
                <w:kern w:val="0"/>
                <w:szCs w:val="21"/>
              </w:rPr>
              <w:t>0</w:t>
            </w:r>
          </w:p>
        </w:tc>
      </w:tr>
      <w:tr w14:paraId="3C5D9DB5">
        <w:tblPrEx>
          <w:tblCellMar>
            <w:top w:w="0" w:type="dxa"/>
            <w:left w:w="108" w:type="dxa"/>
            <w:bottom w:w="0" w:type="dxa"/>
            <w:right w:w="108" w:type="dxa"/>
          </w:tblCellMar>
        </w:tblPrEx>
        <w:trPr>
          <w:trHeight w:val="397" w:hRule="atLeast"/>
        </w:trPr>
        <w:tc>
          <w:tcPr>
            <w:tcW w:w="4379" w:type="dxa"/>
            <w:tcBorders>
              <w:top w:val="nil"/>
              <w:left w:val="single" w:color="auto" w:sz="4" w:space="0"/>
              <w:bottom w:val="single" w:color="auto" w:sz="4" w:space="0"/>
              <w:right w:val="single" w:color="auto" w:sz="4" w:space="0"/>
            </w:tcBorders>
            <w:noWrap w:val="0"/>
            <w:vAlign w:val="center"/>
          </w:tcPr>
          <w:p w14:paraId="29F818B5">
            <w:pPr>
              <w:widowControl/>
              <w:jc w:val="left"/>
              <w:rPr>
                <w:rFonts w:ascii="宋体" w:hAnsi="宋体" w:cs="宋体"/>
                <w:kern w:val="0"/>
                <w:szCs w:val="21"/>
              </w:rPr>
            </w:pPr>
            <w:r>
              <w:rPr>
                <w:rFonts w:hint="eastAsia" w:ascii="宋体" w:hAnsi="宋体" w:cs="宋体"/>
                <w:kern w:val="0"/>
                <w:szCs w:val="21"/>
              </w:rPr>
              <w:t xml:space="preserve">       </w:t>
            </w:r>
            <w:r>
              <w:rPr>
                <w:rFonts w:hint="eastAsia" w:ascii="宋体" w:hAnsi="宋体" w:cs="宋体"/>
                <w:kern w:val="0"/>
                <w:szCs w:val="21"/>
                <w:lang w:val="en-US" w:eastAsia="zh-CN"/>
              </w:rPr>
              <w:t xml:space="preserve"> </w:t>
            </w:r>
            <w:r>
              <w:rPr>
                <w:rFonts w:hint="eastAsia" w:ascii="宋体" w:hAnsi="宋体" w:cs="宋体"/>
                <w:kern w:val="0"/>
                <w:szCs w:val="21"/>
              </w:rPr>
              <w:t xml:space="preserve">公务用车运行维护费  </w:t>
            </w:r>
          </w:p>
        </w:tc>
        <w:tc>
          <w:tcPr>
            <w:tcW w:w="2157" w:type="dxa"/>
            <w:tcBorders>
              <w:top w:val="nil"/>
              <w:left w:val="nil"/>
              <w:bottom w:val="single" w:color="auto" w:sz="4" w:space="0"/>
              <w:right w:val="single" w:color="auto" w:sz="4" w:space="0"/>
            </w:tcBorders>
            <w:noWrap w:val="0"/>
            <w:vAlign w:val="bottom"/>
          </w:tcPr>
          <w:p w14:paraId="582170AE">
            <w:pPr>
              <w:widowControl/>
              <w:jc w:val="left"/>
              <w:rPr>
                <w:rFonts w:ascii="宋体" w:hAnsi="宋体" w:cs="宋体"/>
                <w:kern w:val="0"/>
                <w:szCs w:val="21"/>
              </w:rPr>
            </w:pPr>
            <w:r>
              <w:rPr>
                <w:rFonts w:hint="eastAsia" w:ascii="宋体" w:hAnsi="宋体" w:cs="宋体"/>
                <w:kern w:val="0"/>
                <w:szCs w:val="21"/>
              </w:rPr>
              <w:t>　</w:t>
            </w:r>
            <w:r>
              <w:rPr>
                <w:rFonts w:hint="eastAsia" w:ascii="宋体" w:hAnsi="宋体" w:cs="宋体"/>
                <w:kern w:val="0"/>
                <w:szCs w:val="21"/>
                <w:lang w:val="en-US" w:eastAsia="zh-CN"/>
              </w:rPr>
              <w:t xml:space="preserve">    </w:t>
            </w:r>
            <w:r>
              <w:rPr>
                <w:rFonts w:hint="eastAsia" w:ascii="宋体" w:hAnsi="宋体" w:cs="宋体"/>
                <w:kern w:val="0"/>
                <w:szCs w:val="21"/>
              </w:rPr>
              <w:t>0</w:t>
            </w:r>
          </w:p>
        </w:tc>
        <w:tc>
          <w:tcPr>
            <w:tcW w:w="2220" w:type="dxa"/>
            <w:tcBorders>
              <w:top w:val="nil"/>
              <w:left w:val="nil"/>
              <w:bottom w:val="single" w:color="auto" w:sz="4" w:space="0"/>
              <w:right w:val="single" w:color="auto" w:sz="4" w:space="0"/>
            </w:tcBorders>
            <w:noWrap w:val="0"/>
            <w:vAlign w:val="bottom"/>
          </w:tcPr>
          <w:p w14:paraId="5DBF27E6">
            <w:pPr>
              <w:widowControl/>
              <w:jc w:val="left"/>
              <w:rPr>
                <w:rFonts w:ascii="宋体" w:hAnsi="宋体" w:cs="宋体"/>
                <w:kern w:val="0"/>
                <w:szCs w:val="21"/>
              </w:rPr>
            </w:pPr>
            <w:r>
              <w:rPr>
                <w:rFonts w:hint="eastAsia" w:ascii="宋体" w:hAnsi="宋体" w:cs="宋体"/>
                <w:kern w:val="0"/>
                <w:szCs w:val="21"/>
              </w:rPr>
              <w:t>　</w:t>
            </w:r>
            <w:r>
              <w:rPr>
                <w:rFonts w:hint="eastAsia" w:ascii="宋体" w:hAnsi="宋体" w:cs="宋体"/>
                <w:kern w:val="0"/>
                <w:szCs w:val="21"/>
                <w:lang w:val="en-US" w:eastAsia="zh-CN"/>
              </w:rPr>
              <w:t xml:space="preserve">    </w:t>
            </w:r>
            <w:r>
              <w:rPr>
                <w:rFonts w:hint="eastAsia" w:ascii="宋体" w:hAnsi="宋体" w:cs="宋体"/>
                <w:kern w:val="0"/>
                <w:szCs w:val="21"/>
              </w:rPr>
              <w:t>0</w:t>
            </w:r>
          </w:p>
        </w:tc>
      </w:tr>
    </w:tbl>
    <w:p w14:paraId="7C1CFCF4">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both"/>
        <w:textAlignment w:val="auto"/>
        <w:outlineLvl w:val="9"/>
        <w:rPr>
          <w:rFonts w:hint="eastAsia" w:ascii="仿宋_GB2312" w:hAnsi="仿宋"/>
          <w:sz w:val="21"/>
          <w:szCs w:val="21"/>
          <w:lang w:val="en-US" w:eastAsia="zh-CN"/>
        </w:rPr>
      </w:pPr>
    </w:p>
    <w:p w14:paraId="1D078BD6">
      <w:pPr>
        <w:keepNext w:val="0"/>
        <w:keepLines w:val="0"/>
        <w:pageBreakBefore w:val="0"/>
        <w:widowControl w:val="0"/>
        <w:kinsoku/>
        <w:wordWrap/>
        <w:overflowPunct/>
        <w:topLinePunct w:val="0"/>
        <w:autoSpaceDE/>
        <w:autoSpaceDN/>
        <w:bidi w:val="0"/>
        <w:adjustRightInd/>
        <w:snapToGrid/>
        <w:spacing w:line="300" w:lineRule="exact"/>
        <w:ind w:left="0" w:leftChars="0" w:right="0" w:rightChars="0" w:firstLine="0" w:firstLineChars="0"/>
        <w:jc w:val="both"/>
        <w:textAlignment w:val="auto"/>
        <w:outlineLvl w:val="9"/>
        <w:rPr>
          <w:rFonts w:hint="eastAsia" w:ascii="黑体" w:hAnsi="黑体" w:eastAsia="黑体"/>
          <w:szCs w:val="32"/>
        </w:rPr>
      </w:pPr>
      <w:r>
        <w:rPr>
          <w:rFonts w:hint="eastAsia" w:ascii="仿宋_GB2312" w:hAnsi="仿宋"/>
          <w:sz w:val="21"/>
          <w:szCs w:val="21"/>
          <w:lang w:val="en-US" w:eastAsia="zh-CN"/>
        </w:rPr>
        <w:t>注：本表反映部门本年度一般公共预算财政拨款“三公”经费支出预决算情况。其中，预算数为“三公”经费全年预算数，反映按规定程序调整后的预算数;决算数是包括当年一般公共预算财政拨款和以前年度结转资金安排的实际支出。</w:t>
      </w:r>
      <w:r>
        <w:rPr>
          <w:rFonts w:hint="eastAsia" w:ascii="仿宋_GB2312" w:hAnsi="仿宋"/>
          <w:sz w:val="21"/>
          <w:szCs w:val="21"/>
          <w:lang w:eastAsia="zh-CN"/>
        </w:rPr>
        <w:t xml:space="preserve"> </w:t>
      </w:r>
      <w:r>
        <w:rPr>
          <w:rFonts w:hint="eastAsia" w:ascii="仿宋_GB2312" w:hAnsi="仿宋"/>
          <w:szCs w:val="32"/>
          <w:lang w:eastAsia="zh-CN"/>
        </w:rPr>
        <w:t xml:space="preserve"> </w:t>
      </w:r>
      <w:r>
        <w:rPr>
          <w:rFonts w:hint="eastAsia" w:ascii="黑体" w:hAnsi="黑体" w:eastAsia="黑体"/>
          <w:szCs w:val="32"/>
        </w:rPr>
        <w:t xml:space="preserve">                                      </w:t>
      </w:r>
    </w:p>
    <w:p w14:paraId="5C3857E0">
      <w:pPr>
        <w:rPr>
          <w:rFonts w:hint="eastAsia" w:ascii="黑体" w:hAnsi="黑体" w:eastAsia="黑体"/>
          <w:szCs w:val="32"/>
        </w:rPr>
      </w:pPr>
      <w:r>
        <w:rPr>
          <w:rFonts w:ascii="黑体" w:hAnsi="黑体" w:eastAsia="黑体"/>
          <w:szCs w:val="32"/>
        </w:rPr>
        <w:t xml:space="preserve">    </w:t>
      </w:r>
      <w:r>
        <w:rPr>
          <w:rFonts w:hint="eastAsia" w:ascii="黑体" w:hAnsi="黑体" w:eastAsia="黑体"/>
          <w:szCs w:val="32"/>
        </w:rPr>
        <w:t>二</w:t>
      </w:r>
      <w:r>
        <w:rPr>
          <w:rFonts w:ascii="黑体" w:hAnsi="黑体" w:eastAsia="黑体"/>
          <w:szCs w:val="32"/>
        </w:rPr>
        <w:t>、</w:t>
      </w:r>
      <w:r>
        <w:rPr>
          <w:rFonts w:hint="eastAsia" w:ascii="黑体" w:hAnsi="黑体" w:eastAsia="黑体"/>
          <w:szCs w:val="32"/>
          <w:lang w:eastAsia="zh-CN"/>
        </w:rPr>
        <w:t>202</w:t>
      </w:r>
      <w:r>
        <w:rPr>
          <w:rFonts w:hint="eastAsia" w:ascii="黑体" w:hAnsi="黑体" w:eastAsia="黑体"/>
          <w:szCs w:val="32"/>
          <w:lang w:val="en-US" w:eastAsia="zh-CN"/>
        </w:rPr>
        <w:t>3</w:t>
      </w:r>
      <w:r>
        <w:rPr>
          <w:rFonts w:ascii="黑体" w:hAnsi="黑体" w:eastAsia="黑体"/>
          <w:szCs w:val="32"/>
        </w:rPr>
        <w:t>年</w:t>
      </w:r>
      <w:r>
        <w:rPr>
          <w:rFonts w:hint="eastAsia" w:ascii="黑体" w:hAnsi="黑体" w:eastAsia="黑体"/>
          <w:szCs w:val="32"/>
        </w:rPr>
        <w:t>度一般公共预算财政拨款“三公”经费支出</w:t>
      </w:r>
      <w:r>
        <w:rPr>
          <w:rFonts w:ascii="黑体" w:hAnsi="黑体" w:eastAsia="黑体"/>
          <w:szCs w:val="32"/>
        </w:rPr>
        <w:t>情况说明</w:t>
      </w:r>
    </w:p>
    <w:p w14:paraId="707051B0">
      <w:pPr>
        <w:ind w:firstLine="628" w:firstLineChars="200"/>
        <w:rPr>
          <w:rFonts w:hint="eastAsia" w:ascii="仿宋_GB2312" w:hAnsi="仿宋"/>
          <w:b/>
          <w:szCs w:val="32"/>
        </w:rPr>
      </w:pPr>
      <w:r>
        <w:rPr>
          <w:rFonts w:hint="eastAsia" w:ascii="仿宋_GB2312" w:hAnsi="仿宋"/>
          <w:b/>
          <w:szCs w:val="32"/>
        </w:rPr>
        <w:t>（一）一般公共预算财政拨款“三公”经费支出决算总体情况说明。</w:t>
      </w:r>
    </w:p>
    <w:p w14:paraId="17ED39AE">
      <w:pPr>
        <w:keepNext w:val="0"/>
        <w:keepLines w:val="0"/>
        <w:widowControl/>
        <w:suppressLineNumbers w:val="0"/>
        <w:ind w:firstLine="628" w:firstLineChars="200"/>
        <w:jc w:val="left"/>
        <w:rPr>
          <w:rFonts w:hint="default" w:ascii="仿宋_GB2312" w:hAnsi="仿宋"/>
          <w:szCs w:val="32"/>
          <w:highlight w:val="none"/>
          <w:lang w:val="en-US" w:eastAsia="zh-CN"/>
        </w:rPr>
      </w:pPr>
      <w:r>
        <w:rPr>
          <w:rFonts w:hint="eastAsia" w:ascii="仿宋_GB2312" w:hAnsi="仿宋"/>
          <w:szCs w:val="32"/>
          <w:highlight w:val="none"/>
          <w:lang w:eastAsia="zh-CN"/>
        </w:rPr>
        <w:t>中国致公党安庆市委员会202</w:t>
      </w:r>
      <w:r>
        <w:rPr>
          <w:rFonts w:hint="eastAsia" w:ascii="仿宋_GB2312" w:hAnsi="仿宋"/>
          <w:szCs w:val="32"/>
          <w:highlight w:val="none"/>
          <w:lang w:val="en-US" w:eastAsia="zh-CN"/>
        </w:rPr>
        <w:t>3</w:t>
      </w:r>
      <w:r>
        <w:rPr>
          <w:rFonts w:hint="eastAsia" w:ascii="仿宋_GB2312" w:hAnsi="仿宋"/>
          <w:szCs w:val="32"/>
          <w:highlight w:val="none"/>
        </w:rPr>
        <w:t>年度一般公共预算财政拨款“三公”经费支出预算为</w:t>
      </w:r>
      <w:r>
        <w:rPr>
          <w:rFonts w:hint="eastAsia" w:ascii="仿宋_GB2312" w:hAnsi="仿宋"/>
          <w:szCs w:val="32"/>
          <w:highlight w:val="none"/>
          <w:lang w:val="en-US" w:eastAsia="zh-CN"/>
        </w:rPr>
        <w:t>0.15</w:t>
      </w:r>
      <w:r>
        <w:rPr>
          <w:rFonts w:hint="eastAsia" w:ascii="仿宋_GB2312" w:hAnsi="仿宋"/>
          <w:szCs w:val="32"/>
          <w:highlight w:val="none"/>
        </w:rPr>
        <w:t>万元，支出决算</w:t>
      </w:r>
      <w:r>
        <w:rPr>
          <w:rFonts w:hint="eastAsia" w:ascii="仿宋_GB2312" w:hAnsi="仿宋"/>
          <w:szCs w:val="32"/>
          <w:highlight w:val="none"/>
          <w:lang w:val="en-US" w:eastAsia="zh-CN"/>
        </w:rPr>
        <w:t>为0.15万元，完成预算的100%；较上年增加0.01万元，增长7.1%。决算数与预算数相同。决算数较上年增加的主要原因是2022年因疫情减少三公开支。</w:t>
      </w:r>
    </w:p>
    <w:p w14:paraId="2002CF2E">
      <w:pPr>
        <w:ind w:firstLine="628" w:firstLineChars="200"/>
        <w:rPr>
          <w:rFonts w:hint="eastAsia" w:ascii="仿宋_GB2312" w:hAnsi="仿宋"/>
          <w:b/>
          <w:szCs w:val="32"/>
        </w:rPr>
      </w:pPr>
      <w:r>
        <w:rPr>
          <w:rFonts w:hint="eastAsia" w:ascii="仿宋_GB2312" w:hAnsi="仿宋"/>
          <w:b/>
          <w:bCs/>
          <w:szCs w:val="32"/>
        </w:rPr>
        <w:t>（二）</w:t>
      </w:r>
      <w:r>
        <w:rPr>
          <w:rFonts w:hint="eastAsia" w:ascii="仿宋_GB2312" w:hAnsi="仿宋"/>
          <w:b/>
          <w:szCs w:val="32"/>
        </w:rPr>
        <w:t>一般公共预算财政拨款“三公”经费支出决算具体情况说明。</w:t>
      </w:r>
    </w:p>
    <w:p w14:paraId="0808602E">
      <w:pPr>
        <w:keepNext w:val="0"/>
        <w:keepLines w:val="0"/>
        <w:pageBreakBefore w:val="0"/>
        <w:widowControl w:val="0"/>
        <w:kinsoku/>
        <w:wordWrap/>
        <w:overflowPunct/>
        <w:topLinePunct w:val="0"/>
        <w:autoSpaceDE/>
        <w:autoSpaceDN/>
        <w:bidi w:val="0"/>
        <w:adjustRightInd/>
        <w:snapToGrid/>
        <w:ind w:firstLine="628" w:firstLineChars="200"/>
        <w:textAlignment w:val="auto"/>
        <w:rPr>
          <w:rFonts w:hint="eastAsia" w:ascii="仿宋_GB2312" w:hAnsi="仿宋"/>
          <w:szCs w:val="32"/>
          <w:highlight w:val="none"/>
          <w:lang w:val="en-US" w:eastAsia="zh-CN"/>
        </w:rPr>
      </w:pPr>
      <w:r>
        <w:rPr>
          <w:rFonts w:hint="eastAsia" w:ascii="仿宋_GB2312" w:hAnsi="仿宋"/>
          <w:szCs w:val="32"/>
          <w:lang w:eastAsia="zh-CN"/>
        </w:rPr>
        <w:t>中</w:t>
      </w:r>
      <w:r>
        <w:rPr>
          <w:rFonts w:hint="eastAsia" w:ascii="仿宋_GB2312" w:hAnsi="仿宋"/>
          <w:szCs w:val="32"/>
          <w:highlight w:val="none"/>
          <w:lang w:val="en-US" w:eastAsia="zh-CN"/>
        </w:rPr>
        <w:t>国致公党安庆市委员会2023年度一般公共预算财政拨款“三公”经费支出决算中，因公出国（境）费支出决算0万元，占0.0%;公务接待费支出决算0.15万元，占100%；公务用车购置及运行维护费支出决算0万元，占0.0%。具体情况如下：</w:t>
      </w:r>
    </w:p>
    <w:p w14:paraId="694EAFD6">
      <w:pPr>
        <w:keepNext w:val="0"/>
        <w:keepLines w:val="0"/>
        <w:widowControl/>
        <w:suppressLineNumbers w:val="0"/>
        <w:ind w:firstLine="628" w:firstLineChars="200"/>
        <w:jc w:val="left"/>
        <w:rPr>
          <w:rFonts w:hint="eastAsia" w:ascii="仿宋_GB2312" w:hAnsi="仿宋"/>
          <w:szCs w:val="32"/>
          <w:highlight w:val="none"/>
          <w:lang w:val="en-US" w:eastAsia="zh-CN"/>
        </w:rPr>
      </w:pPr>
      <w:r>
        <w:rPr>
          <w:rFonts w:hint="eastAsia" w:ascii="仿宋_GB2312" w:hAnsi="仿宋"/>
          <w:b/>
          <w:bCs/>
          <w:szCs w:val="32"/>
          <w:highlight w:val="none"/>
        </w:rPr>
        <w:t>1.因公出国（境）费</w:t>
      </w:r>
      <w:r>
        <w:rPr>
          <w:rFonts w:hint="eastAsia" w:ascii="仿宋_GB2312" w:hAnsi="仿宋"/>
          <w:szCs w:val="32"/>
          <w:highlight w:val="none"/>
          <w:lang w:eastAsia="zh-CN"/>
        </w:rPr>
        <w:t>预</w:t>
      </w:r>
      <w:r>
        <w:rPr>
          <w:rFonts w:hint="eastAsia" w:ascii="仿宋_GB2312" w:hAnsi="仿宋"/>
          <w:szCs w:val="32"/>
          <w:highlight w:val="none"/>
          <w:lang w:val="en-US" w:eastAsia="zh-CN"/>
        </w:rPr>
        <w:t>算为0万元，支出决算为0万元，完成预算的100.0%，决算数与预算数相同；较上年减少0万元，下降0.0%。原因是2022年度、2023年度均未安排因公出国（境）计划。故2023年度中国致公党安庆市委员会因公出国（境）团组0次，出国（境）0人次。</w:t>
      </w:r>
    </w:p>
    <w:p w14:paraId="0690E350">
      <w:pPr>
        <w:keepNext w:val="0"/>
        <w:keepLines w:val="0"/>
        <w:widowControl/>
        <w:suppressLineNumbers w:val="0"/>
        <w:ind w:firstLine="628" w:firstLineChars="200"/>
        <w:jc w:val="left"/>
        <w:rPr>
          <w:rFonts w:hint="eastAsia" w:ascii="仿宋_GB2312" w:hAnsi="仿宋"/>
          <w:color w:val="auto"/>
          <w:szCs w:val="32"/>
        </w:rPr>
      </w:pPr>
      <w:r>
        <w:rPr>
          <w:rFonts w:hint="eastAsia" w:ascii="仿宋_GB2312" w:hAnsi="仿宋"/>
          <w:b/>
          <w:bCs/>
          <w:szCs w:val="32"/>
        </w:rPr>
        <w:t>2.公务接待费</w:t>
      </w:r>
      <w:r>
        <w:rPr>
          <w:rFonts w:hint="eastAsia" w:ascii="仿宋_GB2312" w:hAnsi="仿宋"/>
          <w:szCs w:val="32"/>
          <w:lang w:eastAsia="zh-CN"/>
        </w:rPr>
        <w:t>预</w:t>
      </w:r>
      <w:r>
        <w:rPr>
          <w:rFonts w:hint="eastAsia" w:ascii="仿宋_GB2312" w:hAnsi="仿宋"/>
          <w:szCs w:val="32"/>
          <w:highlight w:val="none"/>
          <w:lang w:val="en-US" w:eastAsia="zh-CN"/>
        </w:rPr>
        <w:t>算为0.15万元，支出决算为0.15万元，完成预算的100.0%；较上年增加0.01万元，增长7.1%。决算数与预算数相同。决算数较上年增加的主要原因是是2022年因疫情减少经费支出。2023年中国致公党安庆市委员会国内公务接待共2批次（其中外事接待0批次），16人次（其中外事接待0人次）。主要是用于接待上级单位业务指导和工作调研公务往来支出</w:t>
      </w:r>
      <w:bookmarkStart w:id="0" w:name="_GoBack"/>
      <w:bookmarkEnd w:id="0"/>
      <w:r>
        <w:rPr>
          <w:rFonts w:hint="eastAsia" w:ascii="仿宋_GB2312" w:hAnsi="仿宋"/>
          <w:szCs w:val="32"/>
          <w:highlight w:val="none"/>
          <w:lang w:val="en-US" w:eastAsia="zh-CN"/>
        </w:rPr>
        <w:t>。经费使用贯彻中央</w:t>
      </w:r>
      <w:r>
        <w:rPr>
          <w:rFonts w:hint="eastAsia" w:ascii="仿宋_GB2312" w:hAnsi="仿宋"/>
          <w:szCs w:val="32"/>
        </w:rPr>
        <w:t>八项规定</w:t>
      </w:r>
      <w:r>
        <w:rPr>
          <w:rFonts w:hint="eastAsia" w:ascii="仿宋_GB2312" w:hAnsi="仿宋"/>
          <w:szCs w:val="32"/>
          <w:lang w:eastAsia="zh-CN"/>
        </w:rPr>
        <w:t>精神</w:t>
      </w:r>
      <w:r>
        <w:rPr>
          <w:rFonts w:hint="eastAsia" w:ascii="仿宋_GB2312" w:hAnsi="仿宋"/>
          <w:szCs w:val="32"/>
        </w:rPr>
        <w:t>，</w:t>
      </w:r>
      <w:r>
        <w:rPr>
          <w:rFonts w:hint="eastAsia" w:ascii="仿宋_GB2312" w:hAnsi="仿宋"/>
          <w:color w:val="auto"/>
          <w:szCs w:val="32"/>
        </w:rPr>
        <w:t>严格</w:t>
      </w:r>
      <w:r>
        <w:rPr>
          <w:rFonts w:hint="eastAsia" w:ascii="仿宋_GB2312" w:hAnsi="仿宋"/>
          <w:color w:val="auto"/>
          <w:szCs w:val="32"/>
          <w:lang w:eastAsia="zh-CN"/>
        </w:rPr>
        <w:t>按照</w:t>
      </w:r>
      <w:r>
        <w:rPr>
          <w:rFonts w:hint="eastAsia" w:ascii="仿宋_GB2312" w:hAnsi="仿宋"/>
          <w:szCs w:val="32"/>
        </w:rPr>
        <w:t>《安庆市市直机关公务接待费管理暂行办法》（财行〔2015〕53号）</w:t>
      </w:r>
      <w:r>
        <w:rPr>
          <w:rFonts w:hint="eastAsia" w:ascii="仿宋_GB2312" w:hAnsi="仿宋"/>
          <w:color w:val="auto"/>
          <w:szCs w:val="32"/>
          <w:lang w:eastAsia="zh-CN"/>
        </w:rPr>
        <w:t>等</w:t>
      </w:r>
      <w:r>
        <w:rPr>
          <w:rFonts w:hint="eastAsia" w:ascii="仿宋_GB2312" w:hAnsi="仿宋"/>
          <w:color w:val="auto"/>
          <w:szCs w:val="32"/>
        </w:rPr>
        <w:t>相关规定</w:t>
      </w:r>
      <w:r>
        <w:rPr>
          <w:rFonts w:hint="eastAsia" w:ascii="仿宋_GB2312" w:hAnsi="仿宋"/>
          <w:color w:val="auto"/>
          <w:szCs w:val="32"/>
          <w:lang w:eastAsia="zh-CN"/>
        </w:rPr>
        <w:t>执行</w:t>
      </w:r>
      <w:r>
        <w:rPr>
          <w:rFonts w:hint="eastAsia" w:ascii="仿宋_GB2312" w:hAnsi="仿宋"/>
          <w:color w:val="auto"/>
          <w:szCs w:val="32"/>
        </w:rPr>
        <w:t>。</w:t>
      </w:r>
    </w:p>
    <w:p w14:paraId="71A4A900">
      <w:pPr>
        <w:keepNext w:val="0"/>
        <w:keepLines w:val="0"/>
        <w:widowControl/>
        <w:suppressLineNumbers w:val="0"/>
        <w:ind w:firstLine="628" w:firstLineChars="200"/>
        <w:jc w:val="left"/>
        <w:rPr>
          <w:rFonts w:hint="eastAsia" w:ascii="仿宋_GB2312" w:hAnsi="仿宋"/>
          <w:szCs w:val="32"/>
          <w:highlight w:val="none"/>
          <w:lang w:val="en-US" w:eastAsia="zh-CN"/>
        </w:rPr>
      </w:pPr>
      <w:r>
        <w:rPr>
          <w:rFonts w:hint="eastAsia" w:ascii="仿宋_GB2312" w:hAnsi="仿宋"/>
          <w:b/>
          <w:bCs/>
          <w:szCs w:val="32"/>
          <w:highlight w:val="none"/>
        </w:rPr>
        <w:t>3.公务用车购置及运行维护费</w:t>
      </w:r>
      <w:r>
        <w:rPr>
          <w:rFonts w:hint="eastAsia" w:ascii="仿宋_GB2312" w:hAnsi="仿宋"/>
          <w:szCs w:val="32"/>
          <w:lang w:eastAsia="zh-CN"/>
        </w:rPr>
        <w:t>预</w:t>
      </w:r>
      <w:r>
        <w:rPr>
          <w:rFonts w:hint="eastAsia" w:ascii="仿宋_GB2312" w:hAnsi="仿宋"/>
          <w:szCs w:val="32"/>
          <w:highlight w:val="none"/>
          <w:lang w:val="en-US" w:eastAsia="zh-CN"/>
        </w:rPr>
        <w:t>算为0万元，支出决算为0万元，完成预算的100.0%，决算数与预算数相同；较上年减少0万元，下降0.0%。原因是2022年度、2023年度均未安排公务用车购置及运行维护费。其中，公务用车购置费预算为0万元，支出决算为0万元，完成预算的100.0%，决算数与预算数相同；较上年减少0万元，下降0.0%。原因是2022年度、2023年度均未安排公务用车购置。2023年度购置公务用车0辆。公务用车运行维护费预算为0万元，支出决算为0万元，完成预算的100.0%，决算数与预算数相同；较上年减少0万元，下降0.0%。原因是2022年度、2023年度均未安排公务用车运行维护费。截至2023年12月31日，中国致公党安庆市委员会开支财政拨款的公务用车保有量为0辆。</w:t>
      </w:r>
    </w:p>
    <w:p w14:paraId="20E28B98">
      <w:pPr>
        <w:keepNext w:val="0"/>
        <w:keepLines w:val="0"/>
        <w:widowControl/>
        <w:suppressLineNumbers w:val="0"/>
        <w:ind w:firstLine="628" w:firstLineChars="200"/>
        <w:jc w:val="left"/>
        <w:rPr>
          <w:rFonts w:hint="eastAsia" w:ascii="仿宋_GB2312" w:hAnsi="仿宋"/>
          <w:szCs w:val="32"/>
          <w:highlight w:val="none"/>
          <w:lang w:val="en-US" w:eastAsia="zh-CN"/>
        </w:rPr>
      </w:pPr>
    </w:p>
    <w:p w14:paraId="4AFB01A1">
      <w:pPr>
        <w:pStyle w:val="2"/>
        <w:ind w:left="1258" w:hanging="1258"/>
        <w:jc w:val="both"/>
        <w:rPr>
          <w:rFonts w:hint="eastAsia" w:ascii="仿宋_GB2312" w:eastAsia="仿宋_GB2312"/>
          <w:sz w:val="32"/>
        </w:rPr>
      </w:pPr>
    </w:p>
    <w:p w14:paraId="474E44C9">
      <w:pPr>
        <w:pStyle w:val="2"/>
        <w:jc w:val="both"/>
        <w:rPr>
          <w:rFonts w:hint="eastAsia"/>
        </w:rPr>
      </w:pPr>
    </w:p>
    <w:p w14:paraId="5A3AF240"/>
    <w:sectPr>
      <w:footerReference r:id="rId3" w:type="default"/>
      <w:footerReference r:id="rId4" w:type="even"/>
      <w:pgSz w:w="11906" w:h="16838"/>
      <w:pgMar w:top="2155" w:right="1531" w:bottom="1588" w:left="1588" w:header="0" w:footer="1588" w:gutter="0"/>
      <w:pgBorders>
        <w:top w:val="none" w:sz="0" w:space="0"/>
        <w:left w:val="none" w:sz="0" w:space="0"/>
        <w:bottom w:val="none" w:sz="0" w:space="0"/>
        <w:right w:val="none" w:sz="0" w:space="0"/>
      </w:pgBorders>
      <w:cols w:space="720" w:num="1"/>
      <w:docGrid w:type="linesAndChars" w:linePitch="569" w:charSpace="-126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AFF" w:usb1="C0007841" w:usb2="00000009" w:usb3="00000000" w:csb0="400001FF" w:csb1="FFFF0000"/>
  </w:font>
  <w:font w:name="宋体">
    <w:panose1 w:val="02010600030101010101"/>
    <w:charset w:val="48"/>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C074E5">
    <w:pPr>
      <w:pStyle w:val="3"/>
      <w:framePr w:wrap="around" w:vAnchor="text" w:hAnchor="margin" w:xAlign="right" w:y="1"/>
      <w:rPr>
        <w:rStyle w:val="6"/>
        <w:rFonts w:ascii="仿宋_GB2312"/>
        <w:sz w:val="28"/>
      </w:rPr>
    </w:pPr>
    <w:r>
      <w:rPr>
        <w:rStyle w:val="6"/>
        <w:rFonts w:hint="eastAsia" w:ascii="仿宋_GB2312"/>
        <w:sz w:val="28"/>
      </w:rPr>
      <w:t>-</w:t>
    </w:r>
    <w:r>
      <w:rPr>
        <w:rFonts w:hint="eastAsia" w:ascii="仿宋_GB2312"/>
        <w:sz w:val="28"/>
        <w:szCs w:val="28"/>
      </w:rPr>
      <w:fldChar w:fldCharType="begin"/>
    </w:r>
    <w:r>
      <w:rPr>
        <w:rStyle w:val="6"/>
        <w:rFonts w:hint="eastAsia" w:ascii="仿宋_GB2312"/>
        <w:sz w:val="28"/>
        <w:szCs w:val="28"/>
      </w:rPr>
      <w:instrText xml:space="preserve"> PAGE </w:instrText>
    </w:r>
    <w:r>
      <w:rPr>
        <w:rFonts w:hint="eastAsia" w:ascii="仿宋_GB2312"/>
        <w:sz w:val="28"/>
        <w:szCs w:val="28"/>
      </w:rPr>
      <w:fldChar w:fldCharType="separate"/>
    </w:r>
    <w:r>
      <w:rPr>
        <w:rStyle w:val="6"/>
        <w:rFonts w:ascii="仿宋_GB2312"/>
        <w:sz w:val="28"/>
        <w:szCs w:val="28"/>
      </w:rPr>
      <w:t>50</w:t>
    </w:r>
    <w:r>
      <w:rPr>
        <w:rFonts w:hint="eastAsia" w:ascii="仿宋_GB2312"/>
        <w:sz w:val="28"/>
        <w:szCs w:val="28"/>
      </w:rPr>
      <w:fldChar w:fldCharType="end"/>
    </w:r>
    <w:r>
      <w:rPr>
        <w:rStyle w:val="6"/>
        <w:rFonts w:hint="eastAsia" w:ascii="仿宋_GB2312"/>
        <w:sz w:val="28"/>
        <w:szCs w:val="28"/>
      </w:rPr>
      <w:t>-</w:t>
    </w:r>
  </w:p>
  <w:p w14:paraId="50BEF436">
    <w:pPr>
      <w:pStyle w:val="3"/>
      <w:ind w:right="360"/>
      <w:jc w:val="right"/>
      <w:rPr>
        <w:rFonts w:hint="eastAsia" w:ascii="仿宋_GB2312"/>
        <w:sz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EB743E">
    <w:pPr>
      <w:pStyle w:val="3"/>
      <w:framePr w:wrap="around" w:vAnchor="text" w:hAnchor="margin" w:xAlign="right" w:y="1"/>
      <w:rPr>
        <w:rStyle w:val="6"/>
      </w:rPr>
    </w:pPr>
    <w:r>
      <w:fldChar w:fldCharType="begin"/>
    </w:r>
    <w:r>
      <w:rPr>
        <w:rStyle w:val="6"/>
      </w:rPr>
      <w:instrText xml:space="preserve">PAGE  </w:instrText>
    </w:r>
    <w:r>
      <w:fldChar w:fldCharType="separate"/>
    </w:r>
    <w:r>
      <w:rPr>
        <w:rStyle w:val="6"/>
      </w:rPr>
      <w:t>1</w:t>
    </w:r>
    <w:r>
      <w:fldChar w:fldCharType="end"/>
    </w:r>
  </w:p>
  <w:p w14:paraId="127D375D">
    <w:pPr>
      <w:pStyle w:val="3"/>
      <w:ind w:right="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EwMmFjYjU1ZDliOTllMzA3YWMxNDhlZGVkNmI5MDAifQ=="/>
    <w:docVar w:name="KSO_WPS_MARK_KEY" w:val="e853d76b-ec1c-4ec2-a55f-5868ef45bdf7"/>
  </w:docVars>
  <w:rsids>
    <w:rsidRoot w:val="00000000"/>
    <w:rsid w:val="08D631A4"/>
    <w:rsid w:val="08E92ED7"/>
    <w:rsid w:val="0DD11C42"/>
    <w:rsid w:val="0EDC703A"/>
    <w:rsid w:val="1AF571A7"/>
    <w:rsid w:val="20B322F1"/>
    <w:rsid w:val="250C0222"/>
    <w:rsid w:val="258C4EBE"/>
    <w:rsid w:val="2A41096D"/>
    <w:rsid w:val="3DD24940"/>
    <w:rsid w:val="3F7F2798"/>
    <w:rsid w:val="457173D7"/>
    <w:rsid w:val="46592743"/>
    <w:rsid w:val="47722929"/>
    <w:rsid w:val="4B663938"/>
    <w:rsid w:val="4CE433BE"/>
    <w:rsid w:val="50876947"/>
    <w:rsid w:val="55326F81"/>
    <w:rsid w:val="55B654BC"/>
    <w:rsid w:val="578B3B51"/>
    <w:rsid w:val="57F54956"/>
    <w:rsid w:val="5A382944"/>
    <w:rsid w:val="5BBC1352"/>
    <w:rsid w:val="5BEF797A"/>
    <w:rsid w:val="618B2E62"/>
    <w:rsid w:val="628C1A7E"/>
    <w:rsid w:val="630745A4"/>
    <w:rsid w:val="6A340BA3"/>
    <w:rsid w:val="6CCD1611"/>
    <w:rsid w:val="72996115"/>
    <w:rsid w:val="74BD5B20"/>
    <w:rsid w:val="76307C23"/>
    <w:rsid w:val="79602AEA"/>
    <w:rsid w:val="7C2832F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jc w:val="center"/>
    </w:pPr>
    <w:rPr>
      <w:rFonts w:eastAsia="黑体"/>
      <w:sz w:val="36"/>
    </w:rPr>
  </w:style>
  <w:style w:type="paragraph" w:styleId="3">
    <w:name w:val="footer"/>
    <w:basedOn w:val="1"/>
    <w:qFormat/>
    <w:uiPriority w:val="0"/>
    <w:pPr>
      <w:tabs>
        <w:tab w:val="center" w:pos="4153"/>
        <w:tab w:val="right" w:pos="8306"/>
      </w:tabs>
      <w:snapToGrid w:val="0"/>
      <w:jc w:val="left"/>
    </w:pPr>
    <w:rPr>
      <w:sz w:val="18"/>
    </w:rPr>
  </w:style>
  <w:style w:type="character" w:styleId="6">
    <w:name w:val="page number"/>
    <w:basedOn w:val="5"/>
    <w:qFormat/>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1136</Words>
  <Characters>1292</Characters>
  <Lines>0</Lines>
  <Paragraphs>0</Paragraphs>
  <TotalTime>6</TotalTime>
  <ScaleCrop>false</ScaleCrop>
  <LinksUpToDate>false</LinksUpToDate>
  <CharactersWithSpaces>1404</CharactersWithSpaces>
  <Application>WPS Office_12.1.0.18240_F1E327BC-269C-435d-A152-05C5408002CA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2024-08-30T01:07:00Z</dcterms:created>
  <dc:creator>Administrator</dc:creator>
  <cp:lastModifiedBy>Administrator</cp:lastModifiedBy>
  <dcterms:modified xsi:type="dcterms:W3CDTF">2024-09-14T00:44:51Z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2052-12.1.0.18240</vt:lpwstr>
  </property>
  <property fmtid="{D5CDD505-2E9C-101B-9397-08002B2CF9AE}" pid="3" name="ICV">
    <vt:lpwstr>7A1988CA3CF2495FAB89229DB8264A42_13</vt:lpwstr>
  </property>
</Properties>
</file>