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60" w:lineRule="exact"/>
        <w:rPr>
          <w:rFonts w:hint="default" w:ascii="TimesNewRoman" w:hAnsi="TimesNewRoman" w:eastAsia="黑体" w:cs="TimesNewRoman"/>
          <w:szCs w:val="32"/>
          <w:lang w:val="en-US" w:eastAsia="zh-CN"/>
        </w:rPr>
      </w:pPr>
    </w:p>
    <w:p>
      <w:pPr>
        <w:keepNext w:val="0"/>
        <w:keepLines w:val="0"/>
        <w:pageBreakBefore w:val="0"/>
        <w:kinsoku/>
        <w:overflowPunct/>
        <w:topLinePunct w:val="0"/>
        <w:autoSpaceDE/>
        <w:autoSpaceDN/>
        <w:bidi w:val="0"/>
        <w:spacing w:line="560" w:lineRule="exact"/>
        <w:rPr>
          <w:rFonts w:hint="eastAsia" w:ascii="TimesNewRoman" w:hAnsi="TimesNewRoman" w:eastAsia="黑体" w:cs="TimesNewRoman"/>
          <w:szCs w:val="32"/>
          <w:lang w:val="en-US" w:eastAsia="zh-CN"/>
        </w:rPr>
      </w:pPr>
    </w:p>
    <w:p>
      <w:pPr>
        <w:keepNext w:val="0"/>
        <w:keepLines w:val="0"/>
        <w:pageBreakBefore w:val="0"/>
        <w:kinsoku/>
        <w:overflowPunct/>
        <w:topLinePunct w:val="0"/>
        <w:autoSpaceDE/>
        <w:autoSpaceDN/>
        <w:bidi w:val="0"/>
        <w:spacing w:line="560" w:lineRule="exact"/>
        <w:rPr>
          <w:rFonts w:hint="eastAsia" w:ascii="TimesNewRoman" w:hAnsi="TimesNewRoman" w:eastAsia="黑体" w:cs="TimesNewRoman"/>
          <w:szCs w:val="32"/>
          <w:lang w:val="en-US" w:eastAsia="zh-CN"/>
        </w:rPr>
      </w:pPr>
    </w:p>
    <w:p>
      <w:pPr>
        <w:keepNext w:val="0"/>
        <w:keepLines w:val="0"/>
        <w:pageBreakBefore w:val="0"/>
        <w:kinsoku/>
        <w:overflowPunct/>
        <w:topLinePunct w:val="0"/>
        <w:autoSpaceDE/>
        <w:autoSpaceDN/>
        <w:bidi w:val="0"/>
        <w:spacing w:line="560" w:lineRule="exact"/>
        <w:jc w:val="center"/>
        <w:rPr>
          <w:rFonts w:hint="default" w:ascii="TimesNewRoman" w:hAnsi="TimesNewRoman" w:eastAsia="华文中宋" w:cs="TimesNewRoman"/>
          <w:b/>
          <w:sz w:val="44"/>
          <w:szCs w:val="44"/>
        </w:rPr>
      </w:pPr>
      <w:r>
        <w:rPr>
          <w:rFonts w:hint="eastAsia" w:ascii="TimesNewRoman" w:hAnsi="TimesNewRoman" w:eastAsia="华文中宋" w:cs="TimesNewRoman"/>
          <w:b/>
          <w:sz w:val="44"/>
          <w:szCs w:val="44"/>
          <w:lang w:eastAsia="zh-CN"/>
        </w:rPr>
        <w:t>中国致公党安庆市委员会</w:t>
      </w:r>
      <w:r>
        <w:rPr>
          <w:rFonts w:hint="default" w:ascii="TimesNewRoman" w:hAnsi="TimesNewRoman" w:eastAsia="华文中宋" w:cs="TimesNewRoman"/>
          <w:b/>
          <w:sz w:val="44"/>
          <w:szCs w:val="44"/>
        </w:rPr>
        <w:t>202</w:t>
      </w:r>
      <w:r>
        <w:rPr>
          <w:rFonts w:hint="eastAsia" w:ascii="TimesNewRoman" w:hAnsi="TimesNewRoman" w:eastAsia="华文中宋" w:cs="TimesNewRoman"/>
          <w:b/>
          <w:sz w:val="44"/>
          <w:szCs w:val="44"/>
          <w:lang w:val="en-US" w:eastAsia="zh-CN"/>
        </w:rPr>
        <w:t>3</w:t>
      </w:r>
      <w:r>
        <w:rPr>
          <w:rFonts w:hint="default" w:ascii="TimesNewRoman" w:hAnsi="TimesNewRoman" w:eastAsia="华文中宋" w:cs="TimesNewRoman"/>
          <w:b/>
          <w:sz w:val="44"/>
          <w:szCs w:val="44"/>
        </w:rPr>
        <w:t>年</w:t>
      </w:r>
    </w:p>
    <w:p>
      <w:pPr>
        <w:keepNext w:val="0"/>
        <w:keepLines w:val="0"/>
        <w:pageBreakBefore w:val="0"/>
        <w:kinsoku/>
        <w:overflowPunct/>
        <w:topLinePunct w:val="0"/>
        <w:autoSpaceDE/>
        <w:autoSpaceDN/>
        <w:bidi w:val="0"/>
        <w:spacing w:line="560" w:lineRule="exact"/>
        <w:jc w:val="center"/>
        <w:rPr>
          <w:rFonts w:hint="default" w:ascii="TimesNewRoman" w:hAnsi="TimesNewRoman" w:eastAsia="华文中宋" w:cs="TimesNewRoman"/>
          <w:b/>
          <w:sz w:val="44"/>
          <w:szCs w:val="44"/>
        </w:rPr>
      </w:pPr>
      <w:r>
        <w:rPr>
          <w:rFonts w:hint="default" w:ascii="TimesNewRoman" w:hAnsi="TimesNewRoman" w:eastAsia="华文中宋" w:cs="TimesNewRoman"/>
          <w:b/>
          <w:sz w:val="44"/>
          <w:szCs w:val="44"/>
        </w:rPr>
        <w:t>部门预算</w:t>
      </w:r>
    </w:p>
    <w:p>
      <w:pPr>
        <w:pStyle w:val="3"/>
        <w:keepNext w:val="0"/>
        <w:keepLines w:val="0"/>
        <w:pageBreakBefore w:val="0"/>
        <w:kinsoku/>
        <w:overflowPunct/>
        <w:topLinePunct w:val="0"/>
        <w:autoSpaceDE/>
        <w:autoSpaceDN/>
        <w:bidi w:val="0"/>
        <w:adjustRightInd w:val="0"/>
        <w:snapToGrid w:val="0"/>
        <w:spacing w:line="560" w:lineRule="exact"/>
        <w:jc w:val="center"/>
        <w:outlineLvl w:val="0"/>
        <w:rPr>
          <w:rFonts w:hint="default" w:ascii="TimesNewRoman" w:hAnsi="TimesNewRoman" w:eastAsia="楷体_GB2312" w:cs="TimesNewRoman"/>
          <w:sz w:val="32"/>
          <w:szCs w:val="32"/>
        </w:rPr>
      </w:pPr>
    </w:p>
    <w:p>
      <w:pPr>
        <w:pStyle w:val="3"/>
        <w:keepNext w:val="0"/>
        <w:keepLines w:val="0"/>
        <w:pageBreakBefore w:val="0"/>
        <w:kinsoku/>
        <w:overflowPunct/>
        <w:topLinePunct w:val="0"/>
        <w:autoSpaceDE/>
        <w:autoSpaceDN/>
        <w:bidi w:val="0"/>
        <w:adjustRightInd w:val="0"/>
        <w:snapToGrid w:val="0"/>
        <w:spacing w:line="560" w:lineRule="exact"/>
        <w:jc w:val="center"/>
        <w:outlineLvl w:val="0"/>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44"/>
          <w:szCs w:val="44"/>
        </w:rPr>
      </w:pPr>
      <w:r>
        <w:rPr>
          <w:rFonts w:hint="default" w:ascii="TimesNewRoman" w:hAnsi="TimesNewRoman" w:eastAsia="黑体" w:cs="TimesNewRoman"/>
          <w:bCs/>
          <w:sz w:val="44"/>
          <w:szCs w:val="44"/>
        </w:rPr>
        <w:t>202</w:t>
      </w:r>
      <w:r>
        <w:rPr>
          <w:rFonts w:hint="eastAsia" w:ascii="TimesNewRoman" w:hAnsi="TimesNewRoman" w:eastAsia="黑体" w:cs="TimesNewRoman"/>
          <w:bCs/>
          <w:sz w:val="44"/>
          <w:szCs w:val="44"/>
          <w:lang w:val="en-US" w:eastAsia="zh-CN"/>
        </w:rPr>
        <w:t>3</w:t>
      </w:r>
      <w:r>
        <w:rPr>
          <w:rFonts w:hint="default" w:ascii="TimesNewRoman" w:hAnsi="TimesNewRoman" w:eastAsia="黑体" w:cs="TimesNewRoman"/>
          <w:bCs/>
          <w:sz w:val="44"/>
          <w:szCs w:val="44"/>
        </w:rPr>
        <w:t>年</w:t>
      </w:r>
      <w:r>
        <w:rPr>
          <w:rFonts w:hint="eastAsia" w:ascii="TimesNewRoman" w:hAnsi="TimesNewRoman" w:eastAsia="黑体" w:cs="TimesNewRoman"/>
          <w:bCs/>
          <w:sz w:val="44"/>
          <w:szCs w:val="44"/>
          <w:lang w:val="en-US" w:eastAsia="zh-CN"/>
        </w:rPr>
        <w:t>1</w:t>
      </w:r>
      <w:r>
        <w:rPr>
          <w:rFonts w:hint="default" w:ascii="TimesNewRoman" w:hAnsi="TimesNewRoman" w:eastAsia="黑体" w:cs="TimesNewRoman"/>
          <w:bCs/>
          <w:sz w:val="44"/>
          <w:szCs w:val="44"/>
        </w:rPr>
        <w:t>月</w:t>
      </w: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44"/>
          <w:szCs w:val="44"/>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44"/>
          <w:szCs w:val="44"/>
        </w:rPr>
      </w:pPr>
      <w:r>
        <w:rPr>
          <w:rFonts w:hint="default" w:ascii="TimesNewRoman" w:hAnsi="TimesNewRoman" w:eastAsia="黑体" w:cs="TimesNewRoman"/>
          <w:bCs/>
          <w:sz w:val="44"/>
          <w:szCs w:val="44"/>
        </w:rPr>
        <w:t xml:space="preserve">目 </w:t>
      </w:r>
      <w:r>
        <w:rPr>
          <w:rFonts w:hint="eastAsia" w:ascii="TimesNewRoman" w:hAnsi="TimesNewRoman" w:eastAsia="黑体" w:cs="TimesNewRoman"/>
          <w:bCs/>
          <w:sz w:val="44"/>
          <w:szCs w:val="44"/>
          <w:lang w:val="en-US" w:eastAsia="zh-CN"/>
        </w:rPr>
        <w:t xml:space="preserve"> </w:t>
      </w:r>
      <w:r>
        <w:rPr>
          <w:rFonts w:hint="default" w:ascii="TimesNewRoman" w:hAnsi="TimesNewRoman" w:eastAsia="黑体" w:cs="TimesNewRoman"/>
          <w:bCs/>
          <w:sz w:val="44"/>
          <w:szCs w:val="44"/>
        </w:rPr>
        <w:t>录</w:t>
      </w:r>
    </w:p>
    <w:p>
      <w:pPr>
        <w:pStyle w:val="3"/>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仿宋_GB2312" w:cs="TimesNewRoman"/>
          <w:b/>
          <w:sz w:val="32"/>
          <w:szCs w:val="32"/>
        </w:rPr>
      </w:pPr>
    </w:p>
    <w:p>
      <w:pPr>
        <w:pStyle w:val="3"/>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仿宋_GB2312" w:cs="TimesNewRoman"/>
          <w:b/>
          <w:sz w:val="32"/>
          <w:szCs w:val="32"/>
        </w:rPr>
      </w:pPr>
      <w:r>
        <w:rPr>
          <w:rFonts w:hint="default" w:ascii="TimesNewRoman" w:hAnsi="TimesNewRoman" w:eastAsia="仿宋_GB2312" w:cs="TimesNewRoman"/>
          <w:b/>
          <w:sz w:val="32"/>
          <w:szCs w:val="32"/>
        </w:rPr>
        <w:t>第一部分 部门概况</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1.主要职责</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2.部门预算构成</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3.202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年度主要工作任务</w:t>
      </w:r>
    </w:p>
    <w:p>
      <w:pPr>
        <w:pStyle w:val="3"/>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仿宋_GB2312" w:cs="TimesNewRoman"/>
          <w:b/>
          <w:sz w:val="32"/>
          <w:szCs w:val="32"/>
        </w:rPr>
      </w:pPr>
      <w:r>
        <w:rPr>
          <w:rFonts w:hint="default" w:ascii="TimesNewRoman" w:hAnsi="TimesNewRoman" w:eastAsia="仿宋_GB2312" w:cs="TimesNewRoman"/>
          <w:b/>
          <w:sz w:val="32"/>
          <w:szCs w:val="32"/>
        </w:rPr>
        <w:t>第二部分 202</w:t>
      </w:r>
      <w:r>
        <w:rPr>
          <w:rFonts w:hint="eastAsia" w:ascii="TimesNewRoman" w:hAnsi="TimesNewRoman" w:eastAsia="仿宋_GB2312" w:cs="TimesNewRoman"/>
          <w:b/>
          <w:sz w:val="32"/>
          <w:szCs w:val="32"/>
          <w:lang w:val="en-US" w:eastAsia="zh-CN"/>
        </w:rPr>
        <w:t>3</w:t>
      </w:r>
      <w:r>
        <w:rPr>
          <w:rFonts w:hint="default" w:ascii="TimesNewRoman" w:hAnsi="TimesNewRoman" w:eastAsia="仿宋_GB2312" w:cs="TimesNewRoman"/>
          <w:b/>
          <w:sz w:val="32"/>
          <w:szCs w:val="32"/>
        </w:rPr>
        <w:t>年部门预算表</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outlineLvl w:val="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1.</w:t>
      </w:r>
      <w:r>
        <w:rPr>
          <w:rFonts w:hint="eastAsia" w:ascii="TimesNewRoman" w:hAnsi="TimesNewRoman" w:eastAsia="仿宋_GB2312" w:cs="TimesNewRoman"/>
          <w:bCs/>
          <w:sz w:val="32"/>
          <w:szCs w:val="32"/>
          <w:lang w:eastAsia="zh-CN"/>
        </w:rPr>
        <w:t>中国致公党安庆市委员会</w:t>
      </w:r>
      <w:r>
        <w:rPr>
          <w:rFonts w:hint="default" w:ascii="TimesNewRoman" w:hAnsi="TimesNewRoman" w:eastAsia="仿宋_GB2312" w:cs="TimesNewRoman"/>
          <w:bCs/>
          <w:sz w:val="32"/>
          <w:szCs w:val="32"/>
        </w:rPr>
        <w:t>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年收支总表</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2.</w:t>
      </w:r>
      <w:r>
        <w:rPr>
          <w:rFonts w:hint="eastAsia" w:ascii="TimesNewRoman" w:hAnsi="TimesNewRoman" w:eastAsia="仿宋_GB2312" w:cs="TimesNewRoman"/>
          <w:bCs/>
          <w:sz w:val="32"/>
          <w:szCs w:val="32"/>
          <w:lang w:eastAsia="zh-CN"/>
        </w:rPr>
        <w:t>中国致公党安庆市委员会</w:t>
      </w:r>
      <w:r>
        <w:rPr>
          <w:rFonts w:hint="default" w:ascii="TimesNewRoman" w:hAnsi="TimesNewRoman" w:eastAsia="仿宋_GB2312" w:cs="TimesNewRoman"/>
          <w:bCs/>
          <w:sz w:val="32"/>
          <w:szCs w:val="32"/>
        </w:rPr>
        <w:t>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年收入总表</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outlineLvl w:val="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3.</w:t>
      </w:r>
      <w:r>
        <w:rPr>
          <w:rFonts w:hint="eastAsia" w:ascii="TimesNewRoman" w:hAnsi="TimesNewRoman" w:eastAsia="仿宋_GB2312" w:cs="TimesNewRoman"/>
          <w:bCs/>
          <w:sz w:val="32"/>
          <w:szCs w:val="32"/>
          <w:lang w:eastAsia="zh-CN"/>
        </w:rPr>
        <w:t>中国致公党安庆市委员会</w:t>
      </w:r>
      <w:r>
        <w:rPr>
          <w:rFonts w:hint="default" w:ascii="TimesNewRoman" w:hAnsi="TimesNewRoman" w:eastAsia="仿宋_GB2312" w:cs="TimesNewRoman"/>
          <w:bCs/>
          <w:sz w:val="32"/>
          <w:szCs w:val="32"/>
        </w:rPr>
        <w:t>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年支出总表</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4.</w:t>
      </w:r>
      <w:r>
        <w:rPr>
          <w:rFonts w:hint="eastAsia" w:ascii="TimesNewRoman" w:hAnsi="TimesNewRoman" w:eastAsia="仿宋_GB2312" w:cs="TimesNewRoman"/>
          <w:bCs/>
          <w:sz w:val="32"/>
          <w:szCs w:val="32"/>
          <w:lang w:eastAsia="zh-CN"/>
        </w:rPr>
        <w:t>中国致公党安庆市委员会</w:t>
      </w:r>
      <w:r>
        <w:rPr>
          <w:rFonts w:hint="default" w:ascii="TimesNewRoman" w:hAnsi="TimesNewRoman" w:eastAsia="仿宋_GB2312" w:cs="TimesNewRoman"/>
          <w:bCs/>
          <w:sz w:val="32"/>
          <w:szCs w:val="32"/>
        </w:rPr>
        <w:t>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年财政拨款收支总表</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outlineLvl w:val="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5.</w:t>
      </w:r>
      <w:r>
        <w:rPr>
          <w:rFonts w:hint="eastAsia" w:ascii="TimesNewRoman" w:hAnsi="TimesNewRoman" w:eastAsia="仿宋_GB2312" w:cs="TimesNewRoman"/>
          <w:bCs/>
          <w:sz w:val="32"/>
          <w:szCs w:val="32"/>
          <w:lang w:eastAsia="zh-CN"/>
        </w:rPr>
        <w:t>中国致公党安庆市委员会</w:t>
      </w:r>
      <w:r>
        <w:rPr>
          <w:rFonts w:hint="default" w:ascii="TimesNewRoman" w:hAnsi="TimesNewRoman" w:eastAsia="仿宋_GB2312" w:cs="TimesNewRoman"/>
          <w:bCs/>
          <w:sz w:val="32"/>
          <w:szCs w:val="32"/>
        </w:rPr>
        <w:t>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年一般公共预算支出表</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6.</w:t>
      </w:r>
      <w:r>
        <w:rPr>
          <w:rFonts w:hint="eastAsia" w:ascii="TimesNewRoman" w:hAnsi="TimesNewRoman" w:eastAsia="仿宋_GB2312" w:cs="TimesNewRoman"/>
          <w:bCs/>
          <w:sz w:val="32"/>
          <w:szCs w:val="32"/>
          <w:lang w:eastAsia="zh-CN"/>
        </w:rPr>
        <w:t>中国致公党安庆市委员会</w:t>
      </w:r>
      <w:r>
        <w:rPr>
          <w:rFonts w:hint="default" w:ascii="TimesNewRoman" w:hAnsi="TimesNewRoman" w:eastAsia="仿宋_GB2312" w:cs="TimesNewRoman"/>
          <w:bCs/>
          <w:sz w:val="32"/>
          <w:szCs w:val="32"/>
        </w:rPr>
        <w:t>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年一般公共预算基本支出表</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7.</w:t>
      </w:r>
      <w:r>
        <w:rPr>
          <w:rFonts w:hint="eastAsia" w:ascii="TimesNewRoman" w:hAnsi="TimesNewRoman" w:eastAsia="仿宋_GB2312" w:cs="TimesNewRoman"/>
          <w:bCs/>
          <w:sz w:val="32"/>
          <w:szCs w:val="32"/>
          <w:lang w:eastAsia="zh-CN"/>
        </w:rPr>
        <w:t>中国致公党安庆市委员会</w:t>
      </w:r>
      <w:r>
        <w:rPr>
          <w:rFonts w:hint="default" w:ascii="TimesNewRoman" w:hAnsi="TimesNewRoman" w:eastAsia="仿宋_GB2312" w:cs="TimesNewRoman"/>
          <w:bCs/>
          <w:sz w:val="32"/>
          <w:szCs w:val="32"/>
        </w:rPr>
        <w:t>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年政府性基金预算支出表</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8.</w:t>
      </w:r>
      <w:r>
        <w:rPr>
          <w:rFonts w:hint="eastAsia" w:ascii="TimesNewRoman" w:hAnsi="TimesNewRoman" w:eastAsia="仿宋_GB2312" w:cs="TimesNewRoman"/>
          <w:bCs/>
          <w:sz w:val="32"/>
          <w:szCs w:val="32"/>
          <w:lang w:eastAsia="zh-CN"/>
        </w:rPr>
        <w:t>中国致公党安庆市委员会</w:t>
      </w:r>
      <w:r>
        <w:rPr>
          <w:rFonts w:hint="default" w:ascii="TimesNewRoman" w:hAnsi="TimesNewRoman" w:eastAsia="仿宋_GB2312" w:cs="TimesNewRoman"/>
          <w:bCs/>
          <w:sz w:val="32"/>
          <w:szCs w:val="32"/>
        </w:rPr>
        <w:t>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年国有资本经营预算支出表</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9.</w:t>
      </w:r>
      <w:r>
        <w:rPr>
          <w:rFonts w:hint="eastAsia" w:ascii="TimesNewRoman" w:hAnsi="TimesNewRoman" w:eastAsia="仿宋_GB2312" w:cs="TimesNewRoman"/>
          <w:bCs/>
          <w:sz w:val="32"/>
          <w:szCs w:val="32"/>
          <w:lang w:eastAsia="zh-CN"/>
        </w:rPr>
        <w:t>中国致公党安庆市委员会</w:t>
      </w:r>
      <w:r>
        <w:rPr>
          <w:rFonts w:hint="default" w:ascii="TimesNewRoman" w:hAnsi="TimesNewRoman" w:eastAsia="仿宋_GB2312" w:cs="TimesNewRoman"/>
          <w:bCs/>
          <w:sz w:val="32"/>
          <w:szCs w:val="32"/>
        </w:rPr>
        <w:t>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年项目支出表</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10.</w:t>
      </w:r>
      <w:r>
        <w:rPr>
          <w:rFonts w:hint="eastAsia" w:ascii="TimesNewRoman" w:hAnsi="TimesNewRoman" w:eastAsia="仿宋_GB2312" w:cs="TimesNewRoman"/>
          <w:bCs/>
          <w:sz w:val="32"/>
          <w:szCs w:val="32"/>
          <w:lang w:eastAsia="zh-CN"/>
        </w:rPr>
        <w:t>中国致公党安庆市委员会</w:t>
      </w:r>
      <w:r>
        <w:rPr>
          <w:rFonts w:hint="default" w:ascii="TimesNewRoman" w:hAnsi="TimesNewRoman" w:eastAsia="仿宋_GB2312" w:cs="TimesNewRoman"/>
          <w:bCs/>
          <w:sz w:val="32"/>
          <w:szCs w:val="32"/>
        </w:rPr>
        <w:t>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年政府采购支出表</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11.</w:t>
      </w:r>
      <w:r>
        <w:rPr>
          <w:rFonts w:hint="eastAsia" w:ascii="TimesNewRoman" w:hAnsi="TimesNewRoman" w:eastAsia="仿宋_GB2312" w:cs="TimesNewRoman"/>
          <w:bCs/>
          <w:sz w:val="32"/>
          <w:szCs w:val="32"/>
          <w:lang w:eastAsia="zh-CN"/>
        </w:rPr>
        <w:t>中国致公党安庆市委员会</w:t>
      </w:r>
      <w:r>
        <w:rPr>
          <w:rFonts w:hint="default" w:ascii="TimesNewRoman" w:hAnsi="TimesNewRoman" w:eastAsia="仿宋_GB2312" w:cs="TimesNewRoman"/>
          <w:bCs/>
          <w:sz w:val="32"/>
          <w:szCs w:val="32"/>
        </w:rPr>
        <w:t>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年政府购买服务支出表</w:t>
      </w:r>
    </w:p>
    <w:p>
      <w:pPr>
        <w:pStyle w:val="3"/>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仿宋_GB2312" w:cs="TimesNewRoman"/>
          <w:b/>
          <w:sz w:val="32"/>
          <w:szCs w:val="32"/>
        </w:rPr>
      </w:pPr>
      <w:r>
        <w:rPr>
          <w:rFonts w:hint="default" w:ascii="TimesNewRoman" w:hAnsi="TimesNewRoman" w:eastAsia="仿宋_GB2312" w:cs="TimesNewRoman"/>
          <w:b/>
          <w:sz w:val="32"/>
          <w:szCs w:val="32"/>
        </w:rPr>
        <w:t>第三部分 202</w:t>
      </w:r>
      <w:r>
        <w:rPr>
          <w:rFonts w:hint="eastAsia" w:ascii="TimesNewRoman" w:hAnsi="TimesNewRoman" w:eastAsia="仿宋_GB2312" w:cs="TimesNewRoman"/>
          <w:b/>
          <w:sz w:val="32"/>
          <w:szCs w:val="32"/>
          <w:lang w:val="en-US" w:eastAsia="zh-CN"/>
        </w:rPr>
        <w:t>3</w:t>
      </w:r>
      <w:r>
        <w:rPr>
          <w:rFonts w:hint="default" w:ascii="TimesNewRoman" w:hAnsi="TimesNewRoman" w:eastAsia="仿宋_GB2312" w:cs="TimesNewRoman"/>
          <w:b/>
          <w:sz w:val="32"/>
          <w:szCs w:val="32"/>
        </w:rPr>
        <w:t>年部门预算情况说明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outlineLvl w:val="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1.关于202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年收支总表的说明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2.关于202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年收入总表的说明</w:t>
      </w:r>
    </w:p>
    <w:p>
      <w:pPr>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cs="TimesNewRoman"/>
          <w:bCs/>
          <w:kern w:val="0"/>
          <w:szCs w:val="32"/>
        </w:rPr>
      </w:pPr>
      <w:r>
        <w:rPr>
          <w:rFonts w:hint="default" w:ascii="TimesNewRoman" w:hAnsi="TimesNewRoman" w:cs="TimesNewRoman"/>
          <w:bCs/>
          <w:kern w:val="0"/>
          <w:szCs w:val="32"/>
        </w:rPr>
        <w:t>3.关于202</w:t>
      </w:r>
      <w:r>
        <w:rPr>
          <w:rFonts w:hint="eastAsia" w:ascii="TimesNewRoman" w:hAnsi="TimesNewRoman" w:cs="TimesNewRoman"/>
          <w:bCs/>
          <w:kern w:val="0"/>
          <w:szCs w:val="32"/>
          <w:lang w:val="en-US" w:eastAsia="zh-CN"/>
        </w:rPr>
        <w:t>3</w:t>
      </w:r>
      <w:r>
        <w:rPr>
          <w:rFonts w:hint="default" w:ascii="TimesNewRoman" w:hAnsi="TimesNewRoman" w:cs="TimesNewRoman"/>
          <w:bCs/>
          <w:kern w:val="0"/>
          <w:szCs w:val="32"/>
        </w:rPr>
        <w:t>年支出总表的说明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4.关于202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年财政拨款收支总表的说明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5.关于202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年一般公共预算支出表的说明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6.关于202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年一般公共预算基本支出表的说明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7.关于202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年政府性基金预算支出表的说明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8.关于202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年国有资本经营预算支出表的说明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9.关于202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年项目支出表的说明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10.关于202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年政府采购支出表的说明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11.关于202</w:t>
      </w:r>
      <w:r>
        <w:rPr>
          <w:rFonts w:hint="eastAsia" w:ascii="TimesNewRoman" w:hAnsi="TimesNewRoman" w:eastAsia="仿宋_GB2312" w:cs="TimesNewRoman"/>
          <w:bCs/>
          <w:sz w:val="32"/>
          <w:szCs w:val="32"/>
          <w:lang w:val="en-US" w:eastAsia="zh-CN"/>
        </w:rPr>
        <w:t>3</w:t>
      </w:r>
      <w:r>
        <w:rPr>
          <w:rFonts w:hint="default" w:ascii="TimesNewRoman" w:hAnsi="TimesNewRoman" w:eastAsia="仿宋_GB2312" w:cs="TimesNewRoman"/>
          <w:bCs/>
          <w:sz w:val="32"/>
          <w:szCs w:val="32"/>
        </w:rPr>
        <w:t>年政府购买服务支出表的说明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12.其他重要事项情况说明</w:t>
      </w:r>
    </w:p>
    <w:p>
      <w:pPr>
        <w:pStyle w:val="3"/>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仿宋_GB2312" w:cs="TimesNewRoman"/>
          <w:b/>
          <w:sz w:val="32"/>
          <w:szCs w:val="32"/>
        </w:rPr>
      </w:pPr>
      <w:r>
        <w:rPr>
          <w:rFonts w:hint="default" w:ascii="TimesNewRoman" w:hAnsi="TimesNewRoman" w:eastAsia="仿宋_GB2312" w:cs="TimesNewRoman"/>
          <w:b/>
          <w:sz w:val="32"/>
          <w:szCs w:val="32"/>
        </w:rPr>
        <w:t>第四部分 名词解释</w:t>
      </w:r>
    </w:p>
    <w:p>
      <w:pPr>
        <w:pStyle w:val="3"/>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仿宋_GB2312" w:cs="TimesNewRoman"/>
          <w:b/>
          <w:sz w:val="32"/>
          <w:szCs w:val="32"/>
        </w:rPr>
      </w:pPr>
    </w:p>
    <w:p>
      <w:pPr>
        <w:pStyle w:val="3"/>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仿宋_GB2312" w:cs="TimesNewRoman"/>
          <w:b/>
          <w:sz w:val="32"/>
          <w:szCs w:val="32"/>
        </w:rPr>
      </w:pPr>
    </w:p>
    <w:p>
      <w:pPr>
        <w:pStyle w:val="3"/>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仿宋_GB2312" w:cs="TimesNewRoman"/>
          <w:b/>
          <w:sz w:val="32"/>
          <w:szCs w:val="32"/>
        </w:rPr>
      </w:pPr>
    </w:p>
    <w:p>
      <w:pPr>
        <w:pStyle w:val="3"/>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仿宋_GB2312" w:cs="TimesNewRoman"/>
          <w:b/>
          <w:sz w:val="32"/>
          <w:szCs w:val="32"/>
        </w:rPr>
      </w:pPr>
    </w:p>
    <w:p>
      <w:pPr>
        <w:pStyle w:val="3"/>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仿宋_GB2312" w:cs="TimesNewRoman"/>
          <w:b/>
          <w:sz w:val="32"/>
          <w:szCs w:val="32"/>
        </w:rPr>
      </w:pPr>
    </w:p>
    <w:p>
      <w:pPr>
        <w:pStyle w:val="3"/>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仿宋_GB2312" w:cs="TimesNewRoman"/>
          <w:b/>
          <w:sz w:val="32"/>
          <w:szCs w:val="32"/>
        </w:rPr>
      </w:pPr>
    </w:p>
    <w:p>
      <w:pPr>
        <w:pStyle w:val="3"/>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仿宋_GB2312" w:cs="TimesNewRoman"/>
          <w:b/>
          <w:sz w:val="32"/>
          <w:szCs w:val="32"/>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r>
        <w:rPr>
          <w:rFonts w:hint="default" w:ascii="TimesNewRoman" w:hAnsi="TimesNewRoman" w:eastAsia="黑体" w:cs="TimesNewRoman"/>
          <w:bCs/>
          <w:sz w:val="36"/>
          <w:szCs w:val="36"/>
        </w:rPr>
        <w:t>第一部分 部门概况</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黑体" w:cs="TimesNewRoman"/>
          <w:bCs/>
          <w:sz w:val="32"/>
          <w:szCs w:val="32"/>
        </w:rPr>
      </w:pP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cs="TimesNewRoman"/>
        </w:rPr>
      </w:pPr>
      <w:r>
        <w:rPr>
          <w:rFonts w:hint="default" w:ascii="TimesNewRoman" w:hAnsi="TimesNewRoman" w:eastAsia="黑体" w:cs="TimesNewRoman"/>
          <w:bCs/>
          <w:sz w:val="32"/>
          <w:szCs w:val="32"/>
        </w:rPr>
        <w:t>一、主要职责</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eastAsia" w:ascii="TimesNewRoman" w:hAnsi="TimesNewRoman" w:eastAsia="仿宋_GB2312" w:cs="TimesNewRoman"/>
          <w:bCs/>
          <w:sz w:val="32"/>
          <w:szCs w:val="32"/>
          <w:lang w:eastAsia="zh-CN"/>
        </w:rPr>
      </w:pPr>
      <w:r>
        <w:rPr>
          <w:rFonts w:hint="default" w:ascii="TimesNewRoman" w:hAnsi="TimesNewRoman" w:eastAsia="仿宋_GB2312" w:cs="TimesNewRoman"/>
          <w:bCs/>
          <w:sz w:val="32"/>
          <w:szCs w:val="32"/>
        </w:rPr>
        <w:t>（一）向中共安庆市委、市政府提出重要建议，组织开展参政议政、民主监督、参与政治协商</w:t>
      </w:r>
      <w:r>
        <w:rPr>
          <w:rFonts w:hint="eastAsia" w:ascii="TimesNewRoman" w:hAnsi="TimesNewRoman" w:eastAsia="仿宋_GB2312" w:cs="TimesNewRoman"/>
          <w:bCs/>
          <w:sz w:val="32"/>
          <w:szCs w:val="32"/>
          <w:lang w:eastAsia="zh-CN"/>
        </w:rPr>
        <w:t>。</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eastAsia" w:ascii="TimesNewRoman" w:hAnsi="TimesNewRoman" w:eastAsia="仿宋_GB2312" w:cs="TimesNewRoman"/>
          <w:bCs/>
          <w:sz w:val="32"/>
          <w:szCs w:val="32"/>
          <w:lang w:eastAsia="zh-CN"/>
        </w:rPr>
      </w:pPr>
      <w:r>
        <w:rPr>
          <w:rFonts w:hint="default" w:ascii="TimesNewRoman" w:hAnsi="TimesNewRoman" w:eastAsia="仿宋_GB2312" w:cs="TimesNewRoman"/>
          <w:bCs/>
          <w:sz w:val="32"/>
          <w:szCs w:val="32"/>
        </w:rPr>
        <w:t>（</w:t>
      </w:r>
      <w:r>
        <w:rPr>
          <w:rFonts w:hint="eastAsia" w:ascii="TimesNewRoman" w:hAnsi="TimesNewRoman" w:eastAsia="仿宋_GB2312" w:cs="TimesNewRoman"/>
          <w:bCs/>
          <w:sz w:val="32"/>
          <w:szCs w:val="32"/>
          <w:lang w:eastAsia="zh-CN"/>
        </w:rPr>
        <w:t>二</w:t>
      </w:r>
      <w:r>
        <w:rPr>
          <w:rFonts w:hint="default" w:ascii="TimesNewRoman" w:hAnsi="TimesNewRoman" w:eastAsia="仿宋_GB2312" w:cs="TimesNewRoman"/>
          <w:bCs/>
          <w:sz w:val="32"/>
          <w:szCs w:val="32"/>
        </w:rPr>
        <w:t>）负责致公党全市各级组织的建立、变更、调整、换届和党员发展、管理</w:t>
      </w:r>
      <w:r>
        <w:rPr>
          <w:rFonts w:hint="eastAsia" w:ascii="TimesNewRoman" w:hAnsi="TimesNewRoman" w:eastAsia="仿宋_GB2312" w:cs="TimesNewRoman"/>
          <w:bCs/>
          <w:sz w:val="32"/>
          <w:szCs w:val="32"/>
          <w:lang w:eastAsia="zh-CN"/>
        </w:rPr>
        <w:t>。</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eastAsia" w:ascii="TimesNewRoman" w:hAnsi="TimesNewRoman" w:eastAsia="仿宋_GB2312" w:cs="TimesNewRoman"/>
          <w:bCs/>
          <w:sz w:val="32"/>
          <w:szCs w:val="32"/>
          <w:lang w:eastAsia="zh-CN"/>
        </w:rPr>
      </w:pPr>
      <w:r>
        <w:rPr>
          <w:rFonts w:hint="default" w:ascii="TimesNewRoman" w:hAnsi="TimesNewRoman" w:eastAsia="仿宋_GB2312" w:cs="TimesNewRoman"/>
          <w:bCs/>
          <w:sz w:val="32"/>
          <w:szCs w:val="32"/>
        </w:rPr>
        <w:t>（</w:t>
      </w:r>
      <w:r>
        <w:rPr>
          <w:rFonts w:hint="eastAsia" w:ascii="TimesNewRoman" w:hAnsi="TimesNewRoman" w:eastAsia="仿宋_GB2312" w:cs="TimesNewRoman"/>
          <w:bCs/>
          <w:sz w:val="32"/>
          <w:szCs w:val="32"/>
          <w:lang w:eastAsia="zh-CN"/>
        </w:rPr>
        <w:t>三</w:t>
      </w:r>
      <w:r>
        <w:rPr>
          <w:rFonts w:hint="default" w:ascii="TimesNewRoman" w:hAnsi="TimesNewRoman" w:eastAsia="仿宋_GB2312" w:cs="TimesNewRoman"/>
          <w:bCs/>
          <w:sz w:val="32"/>
          <w:szCs w:val="32"/>
        </w:rPr>
        <w:t>）开展党员思想教育和党务宣传</w:t>
      </w:r>
      <w:r>
        <w:rPr>
          <w:rFonts w:hint="eastAsia" w:ascii="TimesNewRoman" w:hAnsi="TimesNewRoman" w:eastAsia="仿宋_GB2312" w:cs="TimesNewRoman"/>
          <w:bCs/>
          <w:sz w:val="32"/>
          <w:szCs w:val="32"/>
          <w:lang w:eastAsia="zh-CN"/>
        </w:rPr>
        <w:t>。</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eastAsia" w:ascii="TimesNewRoman" w:hAnsi="TimesNewRoman" w:eastAsia="仿宋_GB2312" w:cs="TimesNewRoman"/>
          <w:bCs/>
          <w:sz w:val="32"/>
          <w:szCs w:val="32"/>
          <w:lang w:eastAsia="zh-CN"/>
        </w:rPr>
      </w:pPr>
      <w:r>
        <w:rPr>
          <w:rFonts w:hint="default" w:ascii="TimesNewRoman" w:hAnsi="TimesNewRoman" w:eastAsia="仿宋_GB2312" w:cs="TimesNewRoman"/>
          <w:bCs/>
          <w:sz w:val="32"/>
          <w:szCs w:val="32"/>
        </w:rPr>
        <w:t>（</w:t>
      </w:r>
      <w:r>
        <w:rPr>
          <w:rFonts w:hint="eastAsia" w:ascii="TimesNewRoman" w:hAnsi="TimesNewRoman" w:eastAsia="仿宋_GB2312" w:cs="TimesNewRoman"/>
          <w:bCs/>
          <w:sz w:val="32"/>
          <w:szCs w:val="32"/>
          <w:lang w:eastAsia="zh-CN"/>
        </w:rPr>
        <w:t>四</w:t>
      </w:r>
      <w:r>
        <w:rPr>
          <w:rFonts w:hint="default" w:ascii="TimesNewRoman" w:hAnsi="TimesNewRoman" w:eastAsia="仿宋_GB2312" w:cs="TimesNewRoman"/>
          <w:bCs/>
          <w:sz w:val="32"/>
          <w:szCs w:val="32"/>
        </w:rPr>
        <w:t>）开展对海外组织和华侨、侨眷的联络工作</w:t>
      </w:r>
      <w:r>
        <w:rPr>
          <w:rFonts w:hint="eastAsia" w:ascii="TimesNewRoman" w:hAnsi="TimesNewRoman" w:eastAsia="仿宋_GB2312" w:cs="TimesNewRoman"/>
          <w:bCs/>
          <w:sz w:val="32"/>
          <w:szCs w:val="32"/>
          <w:lang w:eastAsia="zh-CN"/>
        </w:rPr>
        <w:t>。</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eastAsia" w:ascii="TimesNewRoman" w:hAnsi="TimesNewRoman" w:eastAsia="仿宋_GB2312" w:cs="TimesNewRoman"/>
          <w:bCs/>
          <w:sz w:val="32"/>
          <w:szCs w:val="32"/>
          <w:lang w:eastAsia="zh-CN"/>
        </w:rPr>
      </w:pPr>
      <w:r>
        <w:rPr>
          <w:rFonts w:hint="default" w:ascii="TimesNewRoman" w:hAnsi="TimesNewRoman" w:eastAsia="仿宋_GB2312" w:cs="TimesNewRoman"/>
          <w:bCs/>
          <w:sz w:val="32"/>
          <w:szCs w:val="32"/>
        </w:rPr>
        <w:t>（</w:t>
      </w:r>
      <w:r>
        <w:rPr>
          <w:rFonts w:hint="eastAsia" w:ascii="TimesNewRoman" w:hAnsi="TimesNewRoman" w:eastAsia="仿宋_GB2312" w:cs="TimesNewRoman"/>
          <w:bCs/>
          <w:sz w:val="32"/>
          <w:szCs w:val="32"/>
          <w:lang w:eastAsia="zh-CN"/>
        </w:rPr>
        <w:t>五</w:t>
      </w:r>
      <w:r>
        <w:rPr>
          <w:rFonts w:hint="default" w:ascii="TimesNewRoman" w:hAnsi="TimesNewRoman" w:eastAsia="仿宋_GB2312" w:cs="TimesNewRoman"/>
          <w:bCs/>
          <w:sz w:val="32"/>
          <w:szCs w:val="32"/>
        </w:rPr>
        <w:t>）组织开展社会服务</w:t>
      </w:r>
      <w:r>
        <w:rPr>
          <w:rFonts w:hint="eastAsia" w:ascii="TimesNewRoman" w:hAnsi="TimesNewRoman" w:eastAsia="仿宋_GB2312" w:cs="TimesNewRoman"/>
          <w:bCs/>
          <w:sz w:val="32"/>
          <w:szCs w:val="32"/>
          <w:lang w:eastAsia="zh-CN"/>
        </w:rPr>
        <w:t>。</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仿宋_GB2312" w:cs="TimesNewRoman"/>
          <w:bCs/>
          <w:sz w:val="32"/>
          <w:szCs w:val="32"/>
        </w:rPr>
      </w:pPr>
      <w:r>
        <w:rPr>
          <w:rFonts w:hint="default" w:ascii="TimesNewRoman" w:hAnsi="TimesNewRoman" w:eastAsia="仿宋_GB2312" w:cs="TimesNewRoman"/>
          <w:bCs/>
          <w:sz w:val="32"/>
          <w:szCs w:val="32"/>
        </w:rPr>
        <w:t>（</w:t>
      </w:r>
      <w:r>
        <w:rPr>
          <w:rFonts w:hint="eastAsia" w:ascii="TimesNewRoman" w:hAnsi="TimesNewRoman" w:eastAsia="仿宋_GB2312" w:cs="TimesNewRoman"/>
          <w:bCs/>
          <w:sz w:val="32"/>
          <w:szCs w:val="32"/>
          <w:lang w:eastAsia="zh-CN"/>
        </w:rPr>
        <w:t>六</w:t>
      </w:r>
      <w:r>
        <w:rPr>
          <w:rFonts w:hint="default" w:ascii="TimesNewRoman" w:hAnsi="TimesNewRoman" w:eastAsia="仿宋_GB2312" w:cs="TimesNewRoman"/>
          <w:bCs/>
          <w:sz w:val="32"/>
          <w:szCs w:val="32"/>
        </w:rPr>
        <w:t>）管理市委会机关人事、行政事务。</w:t>
      </w:r>
    </w:p>
    <w:p>
      <w:pPr>
        <w:pStyle w:val="3"/>
        <w:keepNext w:val="0"/>
        <w:keepLines w:val="0"/>
        <w:pageBreakBefore w:val="0"/>
        <w:widowControl/>
        <w:numPr>
          <w:ilvl w:val="0"/>
          <w:numId w:val="1"/>
        </w:numPr>
        <w:kinsoku/>
        <w:overflowPunct/>
        <w:topLinePunct w:val="0"/>
        <w:autoSpaceDE/>
        <w:autoSpaceDN/>
        <w:bidi w:val="0"/>
        <w:adjustRightInd w:val="0"/>
        <w:snapToGrid w:val="0"/>
        <w:spacing w:line="560" w:lineRule="exact"/>
        <w:ind w:firstLine="627" w:firstLineChars="196"/>
        <w:rPr>
          <w:rFonts w:hint="default" w:ascii="TimesNewRoman" w:hAnsi="TimesNewRoman" w:eastAsia="黑体" w:cs="TimesNewRoman"/>
          <w:bCs/>
          <w:sz w:val="32"/>
          <w:szCs w:val="32"/>
        </w:rPr>
      </w:pPr>
      <w:r>
        <w:rPr>
          <w:rFonts w:hint="default" w:ascii="TimesNewRoman" w:hAnsi="TimesNewRoman" w:eastAsia="黑体" w:cs="TimesNewRoman"/>
          <w:bCs/>
          <w:sz w:val="32"/>
          <w:szCs w:val="32"/>
        </w:rPr>
        <w:t>部门预算构成</w:t>
      </w:r>
    </w:p>
    <w:p>
      <w:pPr>
        <w:pStyle w:val="3"/>
        <w:keepNext w:val="0"/>
        <w:keepLines w:val="0"/>
        <w:pageBreakBefore w:val="0"/>
        <w:kinsoku/>
        <w:overflowPunct/>
        <w:topLinePunct w:val="0"/>
        <w:autoSpaceDE/>
        <w:autoSpaceDN/>
        <w:bidi w:val="0"/>
        <w:adjustRightInd w:val="0"/>
        <w:snapToGrid w:val="0"/>
        <w:spacing w:line="560" w:lineRule="exact"/>
        <w:ind w:firstLine="480" w:firstLineChars="150"/>
        <w:outlineLvl w:val="0"/>
        <w:rPr>
          <w:rFonts w:hint="default" w:ascii="TimesNewRoman" w:hAnsi="TimesNewRoman" w:eastAsia="仿宋_GB2312" w:cs="TimesNewRoman"/>
          <w:sz w:val="32"/>
          <w:szCs w:val="32"/>
        </w:rPr>
      </w:pPr>
      <w:r>
        <w:rPr>
          <w:rFonts w:hint="default" w:ascii="TimesNewRoman" w:hAnsi="TimesNewRoman" w:eastAsia="仿宋_GB2312" w:cs="TimesNewRoman"/>
          <w:sz w:val="32"/>
          <w:szCs w:val="32"/>
        </w:rPr>
        <w:t>从预算单位构成看，</w:t>
      </w:r>
      <w:r>
        <w:rPr>
          <w:rFonts w:hint="eastAsia" w:ascii="TimesNewRoman" w:hAnsi="TimesNewRoman" w:eastAsia="仿宋_GB2312" w:cs="TimesNewRoman"/>
          <w:bCs/>
          <w:sz w:val="32"/>
          <w:szCs w:val="32"/>
          <w:lang w:eastAsia="zh-CN"/>
        </w:rPr>
        <w:t>中国致公党安庆市委员会</w:t>
      </w:r>
      <w:r>
        <w:rPr>
          <w:rFonts w:hint="default" w:ascii="TimesNewRoman" w:hAnsi="TimesNewRoman" w:eastAsia="仿宋_GB2312" w:cs="TimesNewRoman"/>
          <w:sz w:val="32"/>
          <w:szCs w:val="32"/>
        </w:rPr>
        <w:t>202</w:t>
      </w:r>
      <w:r>
        <w:rPr>
          <w:rFonts w:hint="eastAsia" w:ascii="TimesNewRoman" w:hAnsi="TimesNewRoman" w:eastAsia="仿宋_GB2312" w:cs="TimesNewRoman"/>
          <w:sz w:val="32"/>
          <w:szCs w:val="32"/>
          <w:lang w:val="en-US" w:eastAsia="zh-CN"/>
        </w:rPr>
        <w:t>3</w:t>
      </w:r>
      <w:r>
        <w:rPr>
          <w:rFonts w:hint="default" w:ascii="TimesNewRoman" w:hAnsi="TimesNewRoman" w:eastAsia="仿宋_GB2312" w:cs="TimesNewRoman"/>
          <w:sz w:val="32"/>
          <w:szCs w:val="32"/>
        </w:rPr>
        <w:t>年度部门预算仅包括</w:t>
      </w:r>
      <w:r>
        <w:rPr>
          <w:rFonts w:hint="eastAsia" w:ascii="TimesNewRoman" w:hAnsi="TimesNewRoman" w:eastAsia="仿宋_GB2312" w:cs="TimesNewRoman"/>
          <w:sz w:val="32"/>
          <w:szCs w:val="32"/>
          <w:lang w:eastAsia="zh-CN"/>
        </w:rPr>
        <w:t>局</w:t>
      </w:r>
      <w:r>
        <w:rPr>
          <w:rFonts w:hint="default" w:ascii="TimesNewRoman" w:hAnsi="TimesNewRoman" w:eastAsia="仿宋_GB2312" w:cs="TimesNewRoman"/>
          <w:sz w:val="32"/>
          <w:szCs w:val="32"/>
        </w:rPr>
        <w:t>本级预算，无其他下属单位预算。</w:t>
      </w:r>
    </w:p>
    <w:p>
      <w:pPr>
        <w:pStyle w:val="3"/>
        <w:keepNext w:val="0"/>
        <w:keepLines w:val="0"/>
        <w:pageBreakBefore w:val="0"/>
        <w:kinsoku/>
        <w:overflowPunct/>
        <w:topLinePunct w:val="0"/>
        <w:autoSpaceDE/>
        <w:autoSpaceDN/>
        <w:bidi w:val="0"/>
        <w:adjustRightInd w:val="0"/>
        <w:snapToGrid w:val="0"/>
        <w:spacing w:line="560" w:lineRule="exact"/>
        <w:ind w:firstLine="480" w:firstLineChars="150"/>
        <w:outlineLvl w:val="0"/>
        <w:rPr>
          <w:rFonts w:hint="default" w:ascii="TimesNewRoman" w:hAnsi="TimesNewRoman" w:eastAsia="黑体" w:cs="TimesNewRoman"/>
          <w:bCs/>
          <w:sz w:val="32"/>
          <w:szCs w:val="32"/>
        </w:rPr>
      </w:pPr>
      <w:r>
        <w:rPr>
          <w:rFonts w:hint="default" w:ascii="TimesNewRoman" w:hAnsi="TimesNewRoman" w:eastAsia="黑体" w:cs="TimesNewRoman"/>
          <w:bCs/>
          <w:sz w:val="32"/>
          <w:szCs w:val="32"/>
        </w:rPr>
        <w:t>三、202</w:t>
      </w:r>
      <w:r>
        <w:rPr>
          <w:rFonts w:hint="eastAsia" w:ascii="TimesNewRoman" w:hAnsi="TimesNewRoman" w:eastAsia="黑体" w:cs="TimesNewRoman"/>
          <w:bCs/>
          <w:sz w:val="32"/>
          <w:szCs w:val="32"/>
          <w:lang w:val="en-US" w:eastAsia="zh-CN"/>
        </w:rPr>
        <w:t>3</w:t>
      </w:r>
      <w:r>
        <w:rPr>
          <w:rFonts w:hint="default" w:ascii="TimesNewRoman" w:hAnsi="TimesNewRoman" w:eastAsia="黑体" w:cs="TimesNewRoman"/>
          <w:bCs/>
          <w:sz w:val="32"/>
          <w:szCs w:val="32"/>
        </w:rPr>
        <w:t>年度主要工作任务</w:t>
      </w:r>
    </w:p>
    <w:p>
      <w:pPr>
        <w:spacing w:line="510" w:lineRule="exact"/>
        <w:ind w:firstLine="640" w:firstLineChars="200"/>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202</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Cs/>
          <w:color w:val="000000" w:themeColor="text1"/>
          <w:sz w:val="32"/>
          <w:szCs w:val="32"/>
          <w14:textFill>
            <w14:solidFill>
              <w14:schemeClr w14:val="tx1"/>
            </w14:solidFill>
          </w14:textFill>
        </w:rPr>
        <w:t>年致公党安庆市委将</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深入学习宣传贯彻中共二十大精神，以习近平新时代中国特色社会主义思想为指引，</w:t>
      </w:r>
      <w:r>
        <w:rPr>
          <w:rFonts w:hint="eastAsia" w:ascii="仿宋_GB2312" w:hAnsi="仿宋_GB2312" w:eastAsia="仿宋_GB2312" w:cs="仿宋_GB2312"/>
          <w:bCs/>
          <w:color w:val="000000" w:themeColor="text1"/>
          <w:sz w:val="32"/>
          <w:szCs w:val="32"/>
          <w14:textFill>
            <w14:solidFill>
              <w14:schemeClr w14:val="tx1"/>
            </w14:solidFill>
          </w14:textFill>
        </w:rPr>
        <w:t>在省委会和中共安庆市委的坚强领导下，与时俱进加强参政党建设，开拓进取提升履职实效。</w:t>
      </w:r>
    </w:p>
    <w:p>
      <w:pPr>
        <w:spacing w:line="510" w:lineRule="exact"/>
        <w:ind w:firstLine="640" w:firstLineChars="200"/>
        <w:rPr>
          <w:rFonts w:hint="eastAsia" w:ascii="仿宋_GB2312" w:hAnsi="仿宋_GB2312" w:eastAsia="仿宋_GB2312" w:cs="仿宋_GB2312"/>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（一）强化政治理论学习。</w:t>
      </w:r>
      <w:r>
        <w:rPr>
          <w:rFonts w:hint="eastAsia" w:ascii="仿宋_GB2312" w:hAnsi="仿宋_GB2312" w:eastAsia="仿宋_GB2312" w:cs="仿宋_GB2312"/>
          <w:bCs/>
          <w:color w:val="000000" w:themeColor="text1"/>
          <w:sz w:val="32"/>
          <w:szCs w:val="32"/>
          <w14:textFill>
            <w14:solidFill>
              <w14:schemeClr w14:val="tx1"/>
            </w14:solidFill>
          </w14:textFill>
        </w:rPr>
        <w:t>把深入学习宣传贯彻中共</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二十大</w:t>
      </w:r>
      <w:r>
        <w:rPr>
          <w:rFonts w:hint="eastAsia" w:ascii="仿宋_GB2312" w:hAnsi="仿宋_GB2312" w:eastAsia="仿宋_GB2312" w:cs="仿宋_GB2312"/>
          <w:bCs/>
          <w:color w:val="000000" w:themeColor="text1"/>
          <w:sz w:val="32"/>
          <w:szCs w:val="32"/>
          <w14:textFill>
            <w14:solidFill>
              <w14:schemeClr w14:val="tx1"/>
            </w14:solidFill>
          </w14:textFill>
        </w:rPr>
        <w:t>精神作为202</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Cs/>
          <w:color w:val="000000" w:themeColor="text1"/>
          <w:sz w:val="32"/>
          <w:szCs w:val="32"/>
          <w14:textFill>
            <w14:solidFill>
              <w14:schemeClr w14:val="tx1"/>
            </w14:solidFill>
          </w14:textFill>
        </w:rPr>
        <w:t>年重要政治任务，</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与</w:t>
      </w:r>
      <w:r>
        <w:rPr>
          <w:rFonts w:hint="eastAsia" w:ascii="仿宋_GB2312" w:hAnsi="仿宋_GB2312" w:eastAsia="仿宋_GB2312" w:cs="仿宋_GB2312"/>
          <w:bCs/>
          <w:color w:val="000000" w:themeColor="text1"/>
          <w:sz w:val="32"/>
          <w:szCs w:val="32"/>
          <w14:textFill>
            <w14:solidFill>
              <w14:schemeClr w14:val="tx1"/>
            </w14:solidFill>
          </w14:textFill>
        </w:rPr>
        <w:t>学习中共十九届七中全会、二十届一中全会精神贯通起来，与学习习近平总书记考察安徽重要讲话指示精神结合起来</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，做到原原本本学、融会贯通学、联系工作学、持续深入学，用科学的理论武装头脑、指导实践、推动工作</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。深入学习各级“两会”、省市持续深化“一改两为”等重要会议精神，加强对各级重要政策文件的学习，把牢参政议政目标方向。</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承办好“同心论坛”，加强理想信念教育，展示党员风采；扎实做好对新党员的政治理论培训。</w:t>
      </w:r>
    </w:p>
    <w:p>
      <w:pPr>
        <w:spacing w:line="510" w:lineRule="exact"/>
        <w:ind w:firstLine="640" w:firstLineChars="200"/>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（二）着力加强自身建设。</w:t>
      </w:r>
      <w:r>
        <w:rPr>
          <w:rFonts w:hint="eastAsia" w:ascii="仿宋_GB2312" w:hAnsi="仿宋_GB2312" w:eastAsia="仿宋_GB2312" w:cs="仿宋_GB2312"/>
          <w:bCs/>
          <w:color w:val="000000" w:themeColor="text1"/>
          <w:sz w:val="32"/>
          <w:szCs w:val="32"/>
          <w14:textFill>
            <w14:solidFill>
              <w14:schemeClr w14:val="tx1"/>
            </w14:solidFill>
          </w14:textFill>
        </w:rPr>
        <w:t>加强市委会班子建设，强化对市委委员的思想政治教育，制定并完善市委委员述职制度、学习制度，严格执行主委会、全委会、监委会等相关工作制度，以高质量的制度建设和制度执行推动市委会高质量的履职尽责。</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指导各基层组织</w:t>
      </w:r>
      <w:r>
        <w:rPr>
          <w:rFonts w:hint="eastAsia" w:ascii="仿宋_GB2312" w:hAnsi="仿宋_GB2312" w:eastAsia="仿宋_GB2312" w:cs="仿宋_GB2312"/>
          <w:bCs/>
          <w:color w:val="000000" w:themeColor="text1"/>
          <w:sz w:val="32"/>
          <w:szCs w:val="32"/>
          <w14:textFill>
            <w14:solidFill>
              <w14:schemeClr w14:val="tx1"/>
            </w14:solidFill>
          </w14:textFill>
        </w:rPr>
        <w:t>围绕</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经济社会发展热点</w:t>
      </w:r>
      <w:r>
        <w:rPr>
          <w:rFonts w:hint="eastAsia" w:ascii="仿宋_GB2312" w:hAnsi="仿宋_GB2312" w:eastAsia="仿宋_GB2312" w:cs="仿宋_GB2312"/>
          <w:bCs/>
          <w:color w:val="000000" w:themeColor="text1"/>
          <w:sz w:val="32"/>
          <w:szCs w:val="32"/>
          <w14:textFill>
            <w14:solidFill>
              <w14:schemeClr w14:val="tx1"/>
            </w14:solidFill>
          </w14:textFill>
        </w:rPr>
        <w:t>，精心谋划调研和社会服务主题，动员党员投身服务各区经济发展,让基层组织活动常态化</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、规范化</w:t>
      </w:r>
      <w:r>
        <w:rPr>
          <w:rFonts w:hint="eastAsia" w:ascii="仿宋_GB2312" w:hAnsi="仿宋_GB2312" w:eastAsia="仿宋_GB2312" w:cs="仿宋_GB2312"/>
          <w:bCs/>
          <w:color w:val="000000" w:themeColor="text1"/>
          <w:sz w:val="32"/>
          <w:szCs w:val="32"/>
          <w14:textFill>
            <w14:solidFill>
              <w14:schemeClr w14:val="tx1"/>
            </w14:solidFill>
          </w14:textFill>
        </w:rPr>
        <w:t>。强化机关服务保障能力，促进全面履行“执行、参谋、协调、服务、管理”五大职能。</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开展好致公党、无党派界别活动室各项活动，将活动室建设成为社情民意情报站、委员群众联络站、学习提升加油站、协商议事工作站。</w:t>
      </w:r>
      <w:r>
        <w:rPr>
          <w:rFonts w:hint="eastAsia" w:ascii="仿宋_GB2312" w:hAnsi="仿宋_GB2312" w:eastAsia="仿宋_GB2312" w:cs="仿宋_GB2312"/>
          <w:bCs/>
          <w:color w:val="000000" w:themeColor="text1"/>
          <w:sz w:val="32"/>
          <w:szCs w:val="32"/>
          <w14:textFill>
            <w14:solidFill>
              <w14:schemeClr w14:val="tx1"/>
            </w14:solidFill>
          </w14:textFill>
        </w:rPr>
        <w:t>坚持“三个为主”组织发展方针和“注重质量、注意数量、保持特色、优化结构”的组织发展原则，注重“侨海”特色，把好党员组织“入口关”，高质量完成年度党员发展计划。与兄弟地市致公党市级组织开展互学互动，学习先进经验和作法，提高自身履职本领。</w:t>
      </w:r>
    </w:p>
    <w:p>
      <w:pPr>
        <w:spacing w:line="510" w:lineRule="exact"/>
        <w:ind w:firstLine="640" w:firstLineChars="200"/>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（三）提升参政议政质量。聚焦中国式现代化、“十四五”规划落实、新阶段现代化美好安徽安庆建设</w:t>
      </w:r>
      <w:r>
        <w:rPr>
          <w:rFonts w:hint="eastAsia" w:ascii="仿宋_GB2312" w:hAnsi="仿宋_GB2312" w:eastAsia="仿宋_GB2312" w:cs="仿宋_GB2312"/>
          <w:bCs/>
          <w:color w:val="000000" w:themeColor="text1"/>
          <w:sz w:val="32"/>
          <w:szCs w:val="32"/>
          <w14:textFill>
            <w14:solidFill>
              <w14:schemeClr w14:val="tx1"/>
            </w14:solidFill>
          </w14:textFill>
        </w:rPr>
        <w:t>开展调研和参政议政工作。结合省委会参政议政任务、中共安庆市委政党协商课题、市政协重点民主协商和专题民主协商课题、统战部理论创新要求等，落实领导班子和市委委员领衔课题制度，统筹整合致公党员专业力量，合理调配组建课题组，落实工作责任，强化业务培训，着力形成高质量参政议政成果。</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按照持续深化“一改两为”工作</w:t>
      </w:r>
      <w:r>
        <w:rPr>
          <w:rFonts w:hint="eastAsia" w:ascii="仿宋_GB2312" w:hAnsi="仿宋_GB2312" w:eastAsia="仿宋_GB2312" w:cs="仿宋_GB2312"/>
          <w:bCs/>
          <w:color w:val="000000" w:themeColor="text1"/>
          <w:sz w:val="32"/>
          <w:szCs w:val="32"/>
          <w14:textFill>
            <w14:solidFill>
              <w14:schemeClr w14:val="tx1"/>
            </w14:solidFill>
          </w14:textFill>
        </w:rPr>
        <w:t>要求，秉持“致力为公”宗旨，聚焦群众急难愁盼，组织党员撰写社情民意，助力政府职能部门为群众纾解“痛点”、打通“堵点”、补齐“断点”，进一步提高为民服务的水平。</w:t>
      </w:r>
    </w:p>
    <w:p>
      <w:pPr>
        <w:spacing w:line="510" w:lineRule="exact"/>
        <w:ind w:firstLine="640" w:firstLineChars="200"/>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（四）扎实推进民主监督。</w:t>
      </w:r>
      <w:r>
        <w:rPr>
          <w:rFonts w:hint="eastAsia" w:ascii="仿宋_GB2312" w:hAnsi="仿宋_GB2312" w:eastAsia="仿宋_GB2312" w:cs="仿宋_GB2312"/>
          <w:bCs/>
          <w:color w:val="000000" w:themeColor="text1"/>
          <w:sz w:val="32"/>
          <w:szCs w:val="32"/>
          <w14:textFill>
            <w14:solidFill>
              <w14:schemeClr w14:val="tx1"/>
            </w14:solidFill>
          </w14:textFill>
        </w:rPr>
        <w:t>按照《致公党中央对口安徽省开展长江生态环境保护民主监督工作方案》，协助党委、政府承接好</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致公党中央常态化</w:t>
      </w:r>
      <w:r>
        <w:rPr>
          <w:rFonts w:hint="eastAsia" w:ascii="仿宋_GB2312" w:hAnsi="仿宋_GB2312" w:eastAsia="仿宋_GB2312" w:cs="仿宋_GB2312"/>
          <w:bCs/>
          <w:color w:val="000000" w:themeColor="text1"/>
          <w:sz w:val="32"/>
          <w:szCs w:val="32"/>
          <w14:textFill>
            <w14:solidFill>
              <w14:schemeClr w14:val="tx1"/>
            </w14:solidFill>
          </w14:textFill>
        </w:rPr>
        <w:t>开展的民主监督。履职尽责、强化协调、主动对接，努力将民主监督转化为既发现问题又展示工作亮点、推动全市长江保护各项工作</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落实</w:t>
      </w:r>
      <w:r>
        <w:rPr>
          <w:rFonts w:hint="eastAsia" w:ascii="仿宋_GB2312" w:hAnsi="仿宋_GB2312" w:eastAsia="仿宋_GB2312" w:cs="仿宋_GB2312"/>
          <w:bCs/>
          <w:color w:val="000000" w:themeColor="text1"/>
          <w:sz w:val="32"/>
          <w:szCs w:val="32"/>
          <w14:textFill>
            <w14:solidFill>
              <w14:schemeClr w14:val="tx1"/>
            </w14:solidFill>
          </w14:textFill>
        </w:rPr>
        <w:t>、争取上级重视市本级难以解决问题的有效平台。</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发挥党员专业优势，拓展监督领域，围绕长江大保护扎实开展参政议政和社会服务活动。按照统战部部署要求，发挥党员人才智力密集优势，扎实做好对太湖县的</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长江流域生态环境保护民主监督工作，及时将发现的问题提交给相关职能部门，确保长江（安庆段）支流河湖保护落到实处，助力实现长江一江碧水向东流。</w:t>
      </w:r>
    </w:p>
    <w:p>
      <w:pPr>
        <w:spacing w:line="51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（五）有效拓宽外联、服务渠道。贯彻中共安庆市委“外联老乡”工作部署，积极拓展海外联络新渠道</w:t>
      </w:r>
      <w:r>
        <w:rPr>
          <w:rFonts w:hint="eastAsia" w:ascii="仿宋_GB2312" w:hAnsi="仿宋_GB2312" w:eastAsia="仿宋_GB2312" w:cs="仿宋_GB2312"/>
          <w:bCs/>
          <w:color w:val="000000" w:themeColor="text1"/>
          <w:sz w:val="32"/>
          <w:szCs w:val="32"/>
          <w14:textFill>
            <w14:solidFill>
              <w14:schemeClr w14:val="tx1"/>
            </w14:solidFill>
          </w14:textFill>
        </w:rPr>
        <w:t>，凝聚乡情加强交流，广泛团结爱国力量，积极宣传安庆“双招双引”政策，深化在经贸、人文等领域的合作共识。发挥党员积极作用，强化社会责任、积极担当作为，</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协助省委会做好金寨县前畈村“同心示范工程”提质升级帮扶工作，扎实推进定点帮扶潜山市槎水村乡村振兴工作。</w:t>
      </w:r>
      <w:r>
        <w:rPr>
          <w:rFonts w:hint="eastAsia" w:ascii="仿宋_GB2312" w:hAnsi="仿宋_GB2312" w:eastAsia="仿宋_GB2312" w:cs="仿宋_GB2312"/>
          <w:bCs/>
          <w:color w:val="000000" w:themeColor="text1"/>
          <w:sz w:val="32"/>
          <w:szCs w:val="32"/>
          <w14:textFill>
            <w14:solidFill>
              <w14:schemeClr w14:val="tx1"/>
            </w14:solidFill>
          </w14:textFill>
        </w:rPr>
        <w:t>丰富社会服务工作内容、创新社会服务工作形式，强化各区基层组织在服务经济社会发展中的积极作用，为新阶段现代化美好安庆建设贡献致公力量。</w:t>
      </w: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r>
        <w:rPr>
          <w:rFonts w:hint="default" w:ascii="TimesNewRoman" w:hAnsi="TimesNewRoman" w:eastAsia="黑体" w:cs="TimesNewRoman"/>
          <w:bCs/>
          <w:sz w:val="36"/>
          <w:szCs w:val="36"/>
        </w:rPr>
        <w:t>第二部分 202</w:t>
      </w:r>
      <w:r>
        <w:rPr>
          <w:rFonts w:hint="eastAsia" w:ascii="TimesNewRoman" w:hAnsi="TimesNewRoman" w:eastAsia="黑体" w:cs="TimesNewRoman"/>
          <w:bCs/>
          <w:sz w:val="36"/>
          <w:szCs w:val="36"/>
          <w:lang w:val="en-US" w:eastAsia="zh-CN"/>
        </w:rPr>
        <w:t>3</w:t>
      </w:r>
      <w:r>
        <w:rPr>
          <w:rFonts w:hint="default" w:ascii="TimesNewRoman" w:hAnsi="TimesNewRoman" w:eastAsia="黑体" w:cs="TimesNewRoman"/>
          <w:bCs/>
          <w:sz w:val="36"/>
          <w:szCs w:val="36"/>
        </w:rPr>
        <w:t>年部门预算表</w:t>
      </w: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p>
    <w:p>
      <w:pPr>
        <w:keepNext w:val="0"/>
        <w:keepLines w:val="0"/>
        <w:pageBreakBefore w:val="0"/>
        <w:kinsoku/>
        <w:overflowPunct/>
        <w:topLinePunct w:val="0"/>
        <w:autoSpaceDE/>
        <w:autoSpaceDN/>
        <w:bidi w:val="0"/>
        <w:spacing w:line="560" w:lineRule="exact"/>
        <w:rPr>
          <w:rFonts w:hint="default" w:ascii="TimesNewRoman" w:hAnsi="TimesNewRoman" w:cs="TimesNewRoman"/>
          <w:kern w:val="0"/>
          <w:sz w:val="20"/>
        </w:rPr>
      </w:pPr>
      <w:r>
        <w:rPr>
          <w:rFonts w:hint="default" w:ascii="TimesNewRoman" w:hAnsi="TimesNewRoman" w:cs="TimesNewRoman"/>
          <w:kern w:val="0"/>
          <w:sz w:val="20"/>
        </w:rPr>
        <w:t xml:space="preserve">                                                          </w:t>
      </w:r>
      <w:r>
        <w:rPr>
          <w:rFonts w:hint="eastAsia" w:ascii="TimesNewRoman" w:hAnsi="TimesNewRoman" w:cs="TimesNewRoman"/>
          <w:kern w:val="0"/>
          <w:sz w:val="20"/>
          <w:lang w:val="en-US" w:eastAsia="zh-CN"/>
        </w:rPr>
        <w:t xml:space="preserve"> </w:t>
      </w:r>
      <w:r>
        <w:rPr>
          <w:rFonts w:hint="default" w:ascii="TimesNewRoman" w:hAnsi="TimesNewRoman" w:cs="TimesNewRoman"/>
          <w:kern w:val="0"/>
          <w:sz w:val="20"/>
        </w:rPr>
        <w:t xml:space="preserve">  部门公开表1</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NewRoman" w:hAnsi="TimesNewRoman" w:eastAsia="华文中宋" w:cs="TimesNewRoman"/>
          <w:b/>
          <w:bCs/>
          <w:kern w:val="0"/>
          <w:szCs w:val="32"/>
        </w:rPr>
      </w:pPr>
      <w:r>
        <w:rPr>
          <w:rFonts w:hint="eastAsia" w:ascii="TimesNewRoman" w:hAnsi="TimesNewRoman" w:eastAsia="华文中宋" w:cs="TimesNewRoman"/>
          <w:b/>
          <w:bCs/>
          <w:kern w:val="0"/>
          <w:szCs w:val="32"/>
          <w:lang w:eastAsia="zh-CN"/>
        </w:rPr>
        <w:t>中国致公党安庆市委员会</w:t>
      </w:r>
      <w:r>
        <w:rPr>
          <w:rFonts w:hint="default" w:ascii="TimesNewRoman" w:hAnsi="TimesNewRoman" w:eastAsia="华文中宋" w:cs="TimesNewRoman"/>
          <w:b/>
          <w:bCs/>
          <w:kern w:val="0"/>
          <w:szCs w:val="32"/>
        </w:rPr>
        <w:t>202</w:t>
      </w:r>
      <w:r>
        <w:rPr>
          <w:rFonts w:hint="eastAsia" w:ascii="TimesNewRoman" w:hAnsi="TimesNewRoman" w:eastAsia="华文中宋" w:cs="TimesNewRoman"/>
          <w:b/>
          <w:bCs/>
          <w:kern w:val="0"/>
          <w:szCs w:val="32"/>
          <w:lang w:val="en-US" w:eastAsia="zh-CN"/>
        </w:rPr>
        <w:t>3</w:t>
      </w:r>
      <w:r>
        <w:rPr>
          <w:rFonts w:hint="default" w:ascii="TimesNewRoman" w:hAnsi="TimesNewRoman" w:eastAsia="华文中宋" w:cs="TimesNewRoman"/>
          <w:b/>
          <w:bCs/>
          <w:kern w:val="0"/>
          <w:szCs w:val="32"/>
        </w:rPr>
        <w:t>年收支总表</w:t>
      </w:r>
    </w:p>
    <w:p>
      <w:pPr>
        <w:keepNext w:val="0"/>
        <w:keepLines w:val="0"/>
        <w:pageBreakBefore w:val="0"/>
        <w:kinsoku/>
        <w:overflowPunct/>
        <w:topLinePunct w:val="0"/>
        <w:autoSpaceDE/>
        <w:autoSpaceDN/>
        <w:bidi w:val="0"/>
        <w:spacing w:line="560" w:lineRule="exact"/>
        <w:rPr>
          <w:rFonts w:hint="default" w:ascii="TimesNewRoman" w:hAnsi="TimesNewRoman" w:cs="TimesNewRoman"/>
          <w:kern w:val="0"/>
          <w:sz w:val="20"/>
        </w:rPr>
      </w:pPr>
      <w:r>
        <w:rPr>
          <w:rFonts w:hint="default" w:ascii="TimesNewRoman" w:hAnsi="TimesNewRoman" w:cs="TimesNewRoman"/>
          <w:kern w:val="0"/>
          <w:sz w:val="20"/>
        </w:rPr>
        <w:t xml:space="preserve">                                                                          单位：万元</w:t>
      </w:r>
    </w:p>
    <w:tbl>
      <w:tblPr>
        <w:tblStyle w:val="4"/>
        <w:tblW w:w="8460" w:type="dxa"/>
        <w:tblInd w:w="0" w:type="dxa"/>
        <w:tblLayout w:type="fixed"/>
        <w:tblCellMar>
          <w:top w:w="0" w:type="dxa"/>
          <w:left w:w="108" w:type="dxa"/>
          <w:bottom w:w="0" w:type="dxa"/>
          <w:right w:w="108" w:type="dxa"/>
        </w:tblCellMar>
      </w:tblPr>
      <w:tblGrid>
        <w:gridCol w:w="3422"/>
        <w:gridCol w:w="998"/>
        <w:gridCol w:w="3184"/>
        <w:gridCol w:w="856"/>
      </w:tblGrid>
      <w:tr>
        <w:tblPrEx>
          <w:tblCellMar>
            <w:top w:w="0" w:type="dxa"/>
            <w:left w:w="108" w:type="dxa"/>
            <w:bottom w:w="0" w:type="dxa"/>
            <w:right w:w="108" w:type="dxa"/>
          </w:tblCellMar>
        </w:tblPrEx>
        <w:trPr>
          <w:trHeight w:val="240" w:hRule="atLeast"/>
        </w:trPr>
        <w:tc>
          <w:tcPr>
            <w:tcW w:w="44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收            入</w:t>
            </w:r>
          </w:p>
        </w:tc>
        <w:tc>
          <w:tcPr>
            <w:tcW w:w="4040"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支          出</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收 入 项 目</w:t>
            </w:r>
          </w:p>
        </w:tc>
        <w:tc>
          <w:tcPr>
            <w:tcW w:w="998" w:type="dxa"/>
            <w:tcBorders>
              <w:top w:val="nil"/>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预算数</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支出功能分类科目</w:t>
            </w:r>
          </w:p>
        </w:tc>
        <w:tc>
          <w:tcPr>
            <w:tcW w:w="856" w:type="dxa"/>
            <w:tcBorders>
              <w:top w:val="nil"/>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预算数</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一、一般公共预算拨款收入</w:t>
            </w:r>
          </w:p>
        </w:tc>
        <w:tc>
          <w:tcPr>
            <w:tcW w:w="9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eastAsia" w:ascii="TimesNewRoman" w:hAnsi="TimesNewRoman" w:cs="TimesNewRoman"/>
                <w:kern w:val="0"/>
                <w:sz w:val="22"/>
                <w:szCs w:val="22"/>
                <w:lang w:val="en-US" w:eastAsia="zh-CN"/>
              </w:rPr>
              <w:t>58.42</w:t>
            </w: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一、一般公共服务支出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eastAsia" w:ascii="TimesNewRoman" w:hAnsi="TimesNewRoman" w:cs="TimesNewRoman"/>
                <w:kern w:val="0"/>
                <w:sz w:val="22"/>
                <w:szCs w:val="22"/>
                <w:lang w:val="en-US" w:eastAsia="zh-CN"/>
              </w:rPr>
              <w:t>48.92</w:t>
            </w: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其中：中央转移支付收入</w:t>
            </w:r>
          </w:p>
        </w:tc>
        <w:tc>
          <w:tcPr>
            <w:tcW w:w="99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二、外交支出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9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三、国防支出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二、政府性基金预算拨款收入</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四、公共安全支出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其中：中央转移支付收入</w:t>
            </w:r>
          </w:p>
        </w:tc>
        <w:tc>
          <w:tcPr>
            <w:tcW w:w="99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五、教育支出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9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六、科学技术支出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rPr>
                <w:rFonts w:hint="default" w:ascii="TimesNewRoman" w:hAnsi="TimesNewRoman" w:cs="TimesNewRoman"/>
                <w:kern w:val="0"/>
                <w:sz w:val="18"/>
                <w:szCs w:val="18"/>
              </w:rPr>
            </w:pPr>
            <w:r>
              <w:rPr>
                <w:rFonts w:hint="default" w:ascii="TimesNewRoman" w:hAnsi="TimesNewRoman" w:cs="TimesNewRoman"/>
                <w:kern w:val="0"/>
                <w:sz w:val="20"/>
              </w:rPr>
              <w:t>三、国有资本经营预算拨款收入</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七、文化旅游体育与传媒支出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其中：中央转移支付收入</w:t>
            </w:r>
          </w:p>
        </w:tc>
        <w:tc>
          <w:tcPr>
            <w:tcW w:w="99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八、社会保障和就业支出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szCs w:val="22"/>
              </w:rPr>
            </w:pPr>
            <w:r>
              <w:rPr>
                <w:rFonts w:hint="eastAsia" w:ascii="TimesNewRoman" w:hAnsi="TimesNewRoman" w:cs="TimesNewRoman"/>
                <w:kern w:val="0"/>
                <w:sz w:val="22"/>
                <w:szCs w:val="22"/>
                <w:lang w:val="en-US" w:eastAsia="zh-CN"/>
              </w:rPr>
              <w:t>5.10</w:t>
            </w:r>
            <w:r>
              <w:rPr>
                <w:rFonts w:hint="default" w:ascii="TimesNewRoman" w:hAnsi="TimesNewRoman" w:cs="TimesNewRoman"/>
                <w:kern w:val="0"/>
                <w:sz w:val="22"/>
                <w:szCs w:val="22"/>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9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九、卫生健康支出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szCs w:val="22"/>
              </w:rPr>
            </w:pPr>
            <w:r>
              <w:rPr>
                <w:rFonts w:hint="eastAsia" w:ascii="TimesNewRoman" w:hAnsi="TimesNewRoman" w:cs="TimesNewRoman"/>
                <w:kern w:val="0"/>
                <w:sz w:val="22"/>
                <w:szCs w:val="22"/>
                <w:lang w:val="en-US" w:eastAsia="zh-CN"/>
              </w:rPr>
              <w:t>1.46</w:t>
            </w:r>
            <w:r>
              <w:rPr>
                <w:rFonts w:hint="default" w:ascii="TimesNewRoman" w:hAnsi="TimesNewRoman" w:cs="TimesNewRoman"/>
                <w:kern w:val="0"/>
                <w:sz w:val="22"/>
                <w:szCs w:val="22"/>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四、财政专户管理资金收入</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十、节能环保支出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十一、城乡社区支出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五、单位资金收入</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十二、农林水支出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其中：事业收入</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十三、交通运输支出</w:t>
            </w:r>
          </w:p>
        </w:tc>
        <w:tc>
          <w:tcPr>
            <w:tcW w:w="856"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事业单位经营收入</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十四、资源勘探工业信息等支出</w:t>
            </w:r>
          </w:p>
        </w:tc>
        <w:tc>
          <w:tcPr>
            <w:tcW w:w="856" w:type="dxa"/>
            <w:tcBorders>
              <w:top w:val="single" w:color="auto" w:sz="4" w:space="0"/>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上级补助收入</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十五、商业服务业等支出</w:t>
            </w:r>
          </w:p>
        </w:tc>
        <w:tc>
          <w:tcPr>
            <w:tcW w:w="85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附属单位上缴收入</w:t>
            </w:r>
          </w:p>
        </w:tc>
        <w:tc>
          <w:tcPr>
            <w:tcW w:w="9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十六、金融支出</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44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0"/>
              </w:rPr>
            </w:pPr>
            <w:r>
              <w:rPr>
                <w:rFonts w:hint="default" w:ascii="TimesNewRoman" w:hAnsi="TimesNewRoman" w:cs="TimesNewRoman"/>
                <w:b/>
                <w:kern w:val="0"/>
                <w:sz w:val="20"/>
              </w:rPr>
              <w:t>收            入</w:t>
            </w:r>
          </w:p>
        </w:tc>
        <w:tc>
          <w:tcPr>
            <w:tcW w:w="40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0"/>
              </w:rPr>
            </w:pPr>
            <w:r>
              <w:rPr>
                <w:rFonts w:hint="default" w:ascii="TimesNewRoman" w:hAnsi="TimesNewRoman" w:cs="TimesNewRoman"/>
                <w:b/>
                <w:kern w:val="0"/>
                <w:sz w:val="20"/>
              </w:rPr>
              <w:t>支          出</w:t>
            </w:r>
          </w:p>
        </w:tc>
      </w:tr>
      <w:tr>
        <w:tblPrEx>
          <w:tblCellMar>
            <w:top w:w="0" w:type="dxa"/>
            <w:left w:w="108" w:type="dxa"/>
            <w:bottom w:w="0" w:type="dxa"/>
            <w:right w:w="108" w:type="dxa"/>
          </w:tblCellMar>
        </w:tblPrEx>
        <w:trPr>
          <w:trHeight w:val="240" w:hRule="atLeast"/>
        </w:trPr>
        <w:tc>
          <w:tcPr>
            <w:tcW w:w="34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其他收入</w:t>
            </w:r>
          </w:p>
        </w:tc>
        <w:tc>
          <w:tcPr>
            <w:tcW w:w="9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十七、援助其他地区支出</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9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十八、自然资源海洋气象等支出</w:t>
            </w:r>
          </w:p>
        </w:tc>
        <w:tc>
          <w:tcPr>
            <w:tcW w:w="856" w:type="dxa"/>
            <w:tcBorders>
              <w:top w:val="single" w:color="auto" w:sz="4" w:space="0"/>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十九、住房保障支出</w:t>
            </w:r>
          </w:p>
        </w:tc>
        <w:tc>
          <w:tcPr>
            <w:tcW w:w="856" w:type="dxa"/>
            <w:tcBorders>
              <w:top w:val="single" w:color="auto" w:sz="4" w:space="0"/>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eastAsia" w:ascii="TimesNewRoman" w:hAnsi="TimesNewRoman" w:cs="TimesNewRoman"/>
                <w:kern w:val="0"/>
                <w:sz w:val="22"/>
                <w:szCs w:val="22"/>
                <w:lang w:val="en-US" w:eastAsia="zh-CN"/>
              </w:rPr>
              <w:t>2.93</w:t>
            </w: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二十、粮油物资储备支出</w:t>
            </w:r>
          </w:p>
        </w:tc>
        <w:tc>
          <w:tcPr>
            <w:tcW w:w="85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二十一、灾害防治及应急管理支出</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18"/>
                <w:szCs w:val="18"/>
              </w:rPr>
            </w:pPr>
            <w:r>
              <w:rPr>
                <w:rFonts w:hint="default" w:ascii="TimesNewRoman" w:hAnsi="TimesNewRoman" w:cs="TimesNewRoman"/>
                <w:kern w:val="0"/>
                <w:sz w:val="18"/>
                <w:szCs w:val="18"/>
              </w:rPr>
              <w:t>　</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二十二、预备费</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18"/>
                <w:szCs w:val="18"/>
              </w:rPr>
            </w:pPr>
            <w:r>
              <w:rPr>
                <w:rFonts w:hint="default" w:ascii="TimesNewRoman" w:hAnsi="TimesNewRoman" w:cs="TimesNewRoman"/>
                <w:kern w:val="0"/>
                <w:sz w:val="18"/>
                <w:szCs w:val="18"/>
              </w:rPr>
              <w:t>　</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二十三、其他支出</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18"/>
                <w:szCs w:val="18"/>
              </w:rPr>
            </w:pPr>
            <w:r>
              <w:rPr>
                <w:rFonts w:hint="default" w:ascii="TimesNewRoman" w:hAnsi="TimesNewRoman" w:cs="TimesNewRoman"/>
                <w:kern w:val="0"/>
                <w:sz w:val="18"/>
                <w:szCs w:val="18"/>
              </w:rPr>
              <w:t>　</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二十四、转移性支出</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二十五、债务还本支出</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9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二十六、债务付息支出</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9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二十七、债务发行费用支出</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0"/>
              </w:rPr>
            </w:pPr>
            <w:r>
              <w:rPr>
                <w:rFonts w:hint="default" w:ascii="TimesNewRoman" w:hAnsi="TimesNewRoman" w:cs="TimesNewRoman"/>
                <w:kern w:val="0"/>
                <w:sz w:val="20"/>
              </w:rPr>
              <w:t>本  年  收  入  小  计</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eastAsia" w:ascii="TimesNewRoman" w:hAnsi="TimesNewRoman" w:cs="TimesNewRoman"/>
                <w:kern w:val="0"/>
                <w:sz w:val="22"/>
                <w:szCs w:val="22"/>
                <w:lang w:val="en-US" w:eastAsia="zh-CN"/>
              </w:rPr>
              <w:t>58.42</w:t>
            </w: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0"/>
              </w:rPr>
            </w:pPr>
            <w:r>
              <w:rPr>
                <w:rFonts w:hint="default" w:ascii="TimesNewRoman" w:hAnsi="TimesNewRoman" w:cs="TimesNewRoman"/>
                <w:kern w:val="0"/>
                <w:sz w:val="20"/>
              </w:rPr>
              <w:t>本  年  支  出  小  计</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eastAsia" w:ascii="TimesNewRoman" w:hAnsi="TimesNewRoman" w:cs="TimesNewRoman"/>
                <w:kern w:val="0"/>
                <w:sz w:val="22"/>
                <w:szCs w:val="22"/>
                <w:lang w:val="en-US" w:eastAsia="zh-CN"/>
              </w:rPr>
              <w:t>58.42</w:t>
            </w: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eastAsia" w:ascii="TimesNewRoman" w:hAnsi="TimesNewRoman" w:eastAsia="仿宋_GB2312" w:cs="TimesNewRoman"/>
                <w:kern w:val="0"/>
                <w:sz w:val="20"/>
                <w:lang w:eastAsia="zh-CN"/>
              </w:rPr>
            </w:pPr>
            <w:r>
              <w:rPr>
                <w:rFonts w:hint="default" w:ascii="TimesNewRoman" w:hAnsi="TimesNewRoman" w:cs="TimesNewRoman"/>
                <w:kern w:val="0"/>
                <w:sz w:val="20"/>
              </w:rPr>
              <w:t>上年</w:t>
            </w:r>
            <w:r>
              <w:rPr>
                <w:rFonts w:hint="eastAsia" w:ascii="TimesNewRoman" w:hAnsi="TimesNewRoman" w:cs="TimesNewRoman"/>
                <w:kern w:val="0"/>
                <w:sz w:val="20"/>
                <w:lang w:eastAsia="zh-CN"/>
              </w:rPr>
              <w:t>结转数</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eastAsia" w:ascii="TimesNewRoman" w:hAnsi="TimesNewRoman" w:eastAsia="仿宋_GB2312" w:cs="TimesNewRoman"/>
                <w:kern w:val="0"/>
                <w:sz w:val="20"/>
                <w:lang w:eastAsia="zh-CN"/>
              </w:rPr>
            </w:pPr>
            <w:r>
              <w:rPr>
                <w:rFonts w:hint="eastAsia" w:ascii="TimesNewRoman" w:hAnsi="TimesNewRoman" w:cs="TimesNewRoman"/>
                <w:kern w:val="0"/>
                <w:sz w:val="20"/>
                <w:lang w:eastAsia="zh-CN"/>
              </w:rPr>
              <w:t>结转下年</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一般公共预算</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一般公共预算</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政府性基金预算</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政府性基金预算</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国有资本经营预算</w:t>
            </w:r>
          </w:p>
        </w:tc>
        <w:tc>
          <w:tcPr>
            <w:tcW w:w="998" w:type="dxa"/>
            <w:tcBorders>
              <w:top w:val="nil"/>
              <w:left w:val="nil"/>
              <w:bottom w:val="single" w:color="auto" w:sz="4" w:space="0"/>
              <w:right w:val="single" w:color="auto" w:sz="4" w:space="0"/>
            </w:tcBorders>
            <w:noWrap w:val="0"/>
            <w:vAlign w:val="bottom"/>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18"/>
                <w:szCs w:val="18"/>
              </w:rPr>
            </w:pPr>
            <w:r>
              <w:rPr>
                <w:rFonts w:hint="default" w:ascii="TimesNewRoman" w:hAnsi="TimesNewRoman" w:cs="TimesNewRoman"/>
                <w:kern w:val="0"/>
                <w:sz w:val="18"/>
                <w:szCs w:val="18"/>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国有资本经营预算</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财政专户管理资金</w:t>
            </w:r>
          </w:p>
        </w:tc>
        <w:tc>
          <w:tcPr>
            <w:tcW w:w="998" w:type="dxa"/>
            <w:tcBorders>
              <w:top w:val="nil"/>
              <w:left w:val="nil"/>
              <w:bottom w:val="single" w:color="auto" w:sz="4" w:space="0"/>
              <w:right w:val="single" w:color="auto" w:sz="4" w:space="0"/>
            </w:tcBorders>
            <w:noWrap w:val="0"/>
            <w:vAlign w:val="bottom"/>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18"/>
                <w:szCs w:val="18"/>
              </w:rPr>
            </w:pPr>
            <w:r>
              <w:rPr>
                <w:rFonts w:hint="default" w:ascii="TimesNewRoman" w:hAnsi="TimesNewRoman" w:cs="TimesNewRoman"/>
                <w:kern w:val="0"/>
                <w:sz w:val="18"/>
                <w:szCs w:val="18"/>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财政专户管理资金</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单位资金</w:t>
            </w:r>
          </w:p>
        </w:tc>
        <w:tc>
          <w:tcPr>
            <w:tcW w:w="998" w:type="dxa"/>
            <w:tcBorders>
              <w:top w:val="nil"/>
              <w:left w:val="nil"/>
              <w:bottom w:val="single" w:color="auto" w:sz="4" w:space="0"/>
              <w:right w:val="single" w:color="auto" w:sz="4" w:space="0"/>
            </w:tcBorders>
            <w:noWrap w:val="0"/>
            <w:vAlign w:val="bottom"/>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18"/>
                <w:szCs w:val="18"/>
              </w:rPr>
            </w:pPr>
            <w:r>
              <w:rPr>
                <w:rFonts w:hint="default" w:ascii="TimesNewRoman" w:hAnsi="TimesNewRoman" w:cs="TimesNewRoman"/>
                <w:kern w:val="0"/>
                <w:sz w:val="18"/>
                <w:szCs w:val="18"/>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xml:space="preserve">    单位资金</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收   入   总   计</w:t>
            </w:r>
          </w:p>
        </w:tc>
        <w:tc>
          <w:tcPr>
            <w:tcW w:w="998" w:type="dxa"/>
            <w:tcBorders>
              <w:top w:val="nil"/>
              <w:left w:val="nil"/>
              <w:bottom w:val="single" w:color="auto" w:sz="4" w:space="0"/>
              <w:right w:val="single" w:color="auto" w:sz="4" w:space="0"/>
            </w:tcBorders>
            <w:noWrap w:val="0"/>
            <w:vAlign w:val="bottom"/>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b/>
                <w:bCs/>
                <w:kern w:val="0"/>
                <w:sz w:val="18"/>
                <w:szCs w:val="18"/>
              </w:rPr>
            </w:pPr>
            <w:r>
              <w:rPr>
                <w:rFonts w:hint="eastAsia" w:ascii="TimesNewRoman" w:hAnsi="TimesNewRoman" w:cs="TimesNewRoman"/>
                <w:b/>
                <w:bCs/>
                <w:kern w:val="0"/>
                <w:sz w:val="22"/>
                <w:szCs w:val="22"/>
                <w:lang w:val="en-US" w:eastAsia="zh-CN"/>
              </w:rPr>
              <w:t>58.42</w:t>
            </w:r>
            <w:r>
              <w:rPr>
                <w:rFonts w:hint="default" w:ascii="TimesNewRoman" w:hAnsi="TimesNewRoman" w:cs="TimesNewRoman"/>
                <w:b/>
                <w:bCs/>
                <w:kern w:val="0"/>
                <w:sz w:val="18"/>
                <w:szCs w:val="18"/>
              </w:rPr>
              <w:t>　</w:t>
            </w:r>
          </w:p>
        </w:tc>
        <w:tc>
          <w:tcPr>
            <w:tcW w:w="318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支　出  总　计</w:t>
            </w:r>
          </w:p>
        </w:tc>
        <w:tc>
          <w:tcPr>
            <w:tcW w:w="856"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eastAsia" w:ascii="TimesNewRoman" w:hAnsi="TimesNewRoman" w:cs="TimesNewRoman"/>
                <w:b/>
                <w:bCs/>
                <w:color w:val="auto"/>
                <w:kern w:val="0"/>
                <w:sz w:val="22"/>
                <w:szCs w:val="22"/>
                <w:lang w:val="en-US" w:eastAsia="zh-CN"/>
              </w:rPr>
              <w:t>58.42</w:t>
            </w:r>
            <w:r>
              <w:rPr>
                <w:rFonts w:hint="default" w:ascii="TimesNewRoman" w:hAnsi="TimesNewRoman" w:cs="TimesNewRoman"/>
                <w:kern w:val="0"/>
                <w:sz w:val="20"/>
              </w:rPr>
              <w:t>　</w:t>
            </w:r>
          </w:p>
        </w:tc>
      </w:tr>
    </w:tbl>
    <w:p>
      <w:pPr>
        <w:keepNext w:val="0"/>
        <w:keepLines w:val="0"/>
        <w:pageBreakBefore w:val="0"/>
        <w:kinsoku/>
        <w:overflowPunct/>
        <w:topLinePunct w:val="0"/>
        <w:autoSpaceDE/>
        <w:autoSpaceDN/>
        <w:bidi w:val="0"/>
        <w:spacing w:line="560" w:lineRule="exact"/>
        <w:rPr>
          <w:rFonts w:hint="default" w:ascii="TimesNewRoman" w:hAnsi="TimesNewRoman" w:cs="TimesNewRoman"/>
          <w:kern w:val="0"/>
          <w:sz w:val="20"/>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7"/>
          <w:cols w:space="720" w:num="1"/>
          <w:docGrid w:type="lines" w:linePitch="312" w:charSpace="0"/>
        </w:sectPr>
      </w:pPr>
      <w:r>
        <w:rPr>
          <w:rFonts w:hint="default" w:ascii="TimesNewRoman" w:hAnsi="TimesNewRoman" w:cs="TimesNewRoman"/>
          <w:kern w:val="0"/>
          <w:sz w:val="20"/>
        </w:rPr>
        <w:t>备注：本表金额转换成万元保留2位小数时，因四舍五入可能存在尾差。</w:t>
      </w:r>
    </w:p>
    <w:p>
      <w:pPr>
        <w:keepNext w:val="0"/>
        <w:keepLines w:val="0"/>
        <w:pageBreakBefore w:val="0"/>
        <w:kinsoku/>
        <w:overflowPunct/>
        <w:topLinePunct w:val="0"/>
        <w:autoSpaceDE/>
        <w:autoSpaceDN/>
        <w:bidi w:val="0"/>
        <w:spacing w:line="560" w:lineRule="exact"/>
        <w:jc w:val="center"/>
        <w:rPr>
          <w:rFonts w:hint="default" w:ascii="TimesNewRoman" w:hAnsi="TimesNewRoman" w:cs="TimesNewRoman"/>
          <w:kern w:val="0"/>
          <w:sz w:val="20"/>
        </w:rPr>
      </w:pPr>
      <w:r>
        <w:rPr>
          <w:rFonts w:hint="eastAsia" w:ascii="TimesNewRoman" w:hAnsi="TimesNewRoman" w:cs="TimesNewRoman"/>
          <w:kern w:val="0"/>
          <w:sz w:val="20"/>
          <w:lang w:val="en-US" w:eastAsia="zh-CN"/>
        </w:rPr>
        <w:t xml:space="preserve">                                                                                                                    </w:t>
      </w:r>
      <w:r>
        <w:rPr>
          <w:rFonts w:hint="default" w:ascii="TimesNewRoman" w:hAnsi="TimesNewRoman" w:cs="TimesNewRoman"/>
          <w:kern w:val="0"/>
          <w:sz w:val="20"/>
        </w:rPr>
        <w:t>部门公开表2</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NewRoman" w:hAnsi="TimesNewRoman" w:eastAsia="华文中宋" w:cs="TimesNewRoman"/>
          <w:b/>
          <w:bCs/>
          <w:kern w:val="0"/>
          <w:szCs w:val="32"/>
        </w:rPr>
      </w:pPr>
      <w:r>
        <w:rPr>
          <w:rFonts w:hint="eastAsia" w:ascii="TimesNewRoman" w:hAnsi="TimesNewRoman" w:eastAsia="华文中宋" w:cs="TimesNewRoman"/>
          <w:b/>
          <w:bCs/>
          <w:kern w:val="0"/>
          <w:szCs w:val="32"/>
          <w:lang w:eastAsia="zh-CN"/>
        </w:rPr>
        <w:t>中国致公党安庆市委员会</w:t>
      </w:r>
      <w:r>
        <w:rPr>
          <w:rFonts w:hint="default" w:ascii="TimesNewRoman" w:hAnsi="TimesNewRoman" w:eastAsia="华文中宋" w:cs="TimesNewRoman"/>
          <w:b/>
          <w:bCs/>
          <w:kern w:val="0"/>
          <w:szCs w:val="32"/>
        </w:rPr>
        <w:t>202</w:t>
      </w:r>
      <w:r>
        <w:rPr>
          <w:rFonts w:hint="eastAsia" w:ascii="TimesNewRoman" w:hAnsi="TimesNewRoman" w:eastAsia="华文中宋" w:cs="TimesNewRoman"/>
          <w:b/>
          <w:bCs/>
          <w:kern w:val="0"/>
          <w:szCs w:val="32"/>
          <w:lang w:val="en-US" w:eastAsia="zh-CN"/>
        </w:rPr>
        <w:t>3</w:t>
      </w:r>
      <w:r>
        <w:rPr>
          <w:rFonts w:hint="default" w:ascii="TimesNewRoman" w:hAnsi="TimesNewRoman" w:eastAsia="华文中宋" w:cs="TimesNewRoman"/>
          <w:b/>
          <w:bCs/>
          <w:kern w:val="0"/>
          <w:szCs w:val="32"/>
        </w:rPr>
        <w:t>年收入总表</w:t>
      </w:r>
    </w:p>
    <w:p>
      <w:pPr>
        <w:keepNext w:val="0"/>
        <w:keepLines w:val="0"/>
        <w:pageBreakBefore w:val="0"/>
        <w:kinsoku/>
        <w:overflowPunct/>
        <w:topLinePunct w:val="0"/>
        <w:autoSpaceDE/>
        <w:autoSpaceDN/>
        <w:bidi w:val="0"/>
        <w:spacing w:line="560" w:lineRule="exact"/>
        <w:rPr>
          <w:rFonts w:hint="default" w:ascii="TimesNewRoman" w:hAnsi="TimesNewRoman" w:cs="TimesNewRoman"/>
          <w:kern w:val="0"/>
          <w:sz w:val="20"/>
        </w:rPr>
      </w:pPr>
      <w:r>
        <w:rPr>
          <w:rFonts w:hint="default" w:ascii="TimesNewRoman" w:hAnsi="TimesNewRoman" w:cs="TimesNewRoman"/>
          <w:kern w:val="0"/>
          <w:sz w:val="20"/>
        </w:rPr>
        <w:t xml:space="preserve">                                                                                                                                单位：万元</w:t>
      </w:r>
    </w:p>
    <w:tbl>
      <w:tblPr>
        <w:tblStyle w:val="4"/>
        <w:tblW w:w="14020" w:type="dxa"/>
        <w:tblInd w:w="0" w:type="dxa"/>
        <w:tblLayout w:type="fixed"/>
        <w:tblCellMar>
          <w:top w:w="0" w:type="dxa"/>
          <w:left w:w="108" w:type="dxa"/>
          <w:bottom w:w="0" w:type="dxa"/>
          <w:right w:w="108" w:type="dxa"/>
        </w:tblCellMar>
      </w:tblPr>
      <w:tblGrid>
        <w:gridCol w:w="1225"/>
        <w:gridCol w:w="885"/>
        <w:gridCol w:w="870"/>
        <w:gridCol w:w="780"/>
        <w:gridCol w:w="740"/>
        <w:gridCol w:w="680"/>
        <w:gridCol w:w="680"/>
        <w:gridCol w:w="680"/>
        <w:gridCol w:w="680"/>
        <w:gridCol w:w="680"/>
        <w:gridCol w:w="680"/>
        <w:gridCol w:w="680"/>
        <w:gridCol w:w="680"/>
        <w:gridCol w:w="680"/>
        <w:gridCol w:w="680"/>
        <w:gridCol w:w="680"/>
        <w:gridCol w:w="680"/>
        <w:gridCol w:w="680"/>
        <w:gridCol w:w="680"/>
      </w:tblGrid>
      <w:tr>
        <w:tblPrEx>
          <w:tblCellMar>
            <w:top w:w="0" w:type="dxa"/>
            <w:left w:w="108" w:type="dxa"/>
            <w:bottom w:w="0" w:type="dxa"/>
            <w:right w:w="108" w:type="dxa"/>
          </w:tblCellMar>
        </w:tblPrEx>
        <w:trPr>
          <w:trHeight w:val="420" w:hRule="atLeast"/>
        </w:trPr>
        <w:tc>
          <w:tcPr>
            <w:tcW w:w="122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部门名称</w:t>
            </w:r>
          </w:p>
        </w:tc>
        <w:tc>
          <w:tcPr>
            <w:tcW w:w="88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合计</w:t>
            </w:r>
          </w:p>
        </w:tc>
        <w:tc>
          <w:tcPr>
            <w:tcW w:w="7830" w:type="dxa"/>
            <w:gridSpan w:val="11"/>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本年收入</w:t>
            </w:r>
          </w:p>
        </w:tc>
        <w:tc>
          <w:tcPr>
            <w:tcW w:w="4080" w:type="dxa"/>
            <w:gridSpan w:val="6"/>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上年结转结余</w:t>
            </w:r>
          </w:p>
        </w:tc>
      </w:tr>
      <w:tr>
        <w:tblPrEx>
          <w:tblCellMar>
            <w:top w:w="0" w:type="dxa"/>
            <w:left w:w="108" w:type="dxa"/>
            <w:bottom w:w="0" w:type="dxa"/>
            <w:right w:w="108" w:type="dxa"/>
          </w:tblCellMar>
        </w:tblPrEx>
        <w:trPr>
          <w:trHeight w:val="356" w:hRule="atLeast"/>
        </w:trPr>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kern w:val="0"/>
                <w:sz w:val="20"/>
              </w:rPr>
            </w:pPr>
          </w:p>
        </w:tc>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kern w:val="0"/>
                <w:sz w:val="20"/>
              </w:rPr>
            </w:pPr>
          </w:p>
        </w:tc>
        <w:tc>
          <w:tcPr>
            <w:tcW w:w="870" w:type="dxa"/>
            <w:vMerge w:val="restart"/>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小计</w:t>
            </w:r>
          </w:p>
        </w:tc>
        <w:tc>
          <w:tcPr>
            <w:tcW w:w="780" w:type="dxa"/>
            <w:vMerge w:val="restart"/>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一般公共预算</w:t>
            </w:r>
          </w:p>
        </w:tc>
        <w:tc>
          <w:tcPr>
            <w:tcW w:w="740" w:type="dxa"/>
            <w:vMerge w:val="restart"/>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政府性基金预算</w:t>
            </w:r>
          </w:p>
        </w:tc>
        <w:tc>
          <w:tcPr>
            <w:tcW w:w="6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国有资本经营预算</w:t>
            </w:r>
          </w:p>
        </w:tc>
        <w:tc>
          <w:tcPr>
            <w:tcW w:w="6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财政专户管理资金</w:t>
            </w:r>
          </w:p>
        </w:tc>
        <w:tc>
          <w:tcPr>
            <w:tcW w:w="4080" w:type="dxa"/>
            <w:gridSpan w:val="6"/>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单位资金</w:t>
            </w:r>
          </w:p>
        </w:tc>
        <w:tc>
          <w:tcPr>
            <w:tcW w:w="680" w:type="dxa"/>
            <w:vMerge w:val="restart"/>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小计</w:t>
            </w:r>
          </w:p>
        </w:tc>
        <w:tc>
          <w:tcPr>
            <w:tcW w:w="680" w:type="dxa"/>
            <w:vMerge w:val="restart"/>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一般公共预算</w:t>
            </w:r>
          </w:p>
        </w:tc>
        <w:tc>
          <w:tcPr>
            <w:tcW w:w="680" w:type="dxa"/>
            <w:vMerge w:val="restart"/>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政府性基金预算</w:t>
            </w:r>
          </w:p>
        </w:tc>
        <w:tc>
          <w:tcPr>
            <w:tcW w:w="680" w:type="dxa"/>
            <w:vMerge w:val="restart"/>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国有资本经营预算</w:t>
            </w:r>
          </w:p>
        </w:tc>
        <w:tc>
          <w:tcPr>
            <w:tcW w:w="680" w:type="dxa"/>
            <w:vMerge w:val="restart"/>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财政专户管理资金</w:t>
            </w:r>
          </w:p>
        </w:tc>
        <w:tc>
          <w:tcPr>
            <w:tcW w:w="680" w:type="dxa"/>
            <w:vMerge w:val="restart"/>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单位资金</w:t>
            </w:r>
          </w:p>
        </w:tc>
      </w:tr>
      <w:tr>
        <w:tblPrEx>
          <w:tblCellMar>
            <w:top w:w="0" w:type="dxa"/>
            <w:left w:w="108" w:type="dxa"/>
            <w:bottom w:w="0" w:type="dxa"/>
            <w:right w:w="108" w:type="dxa"/>
          </w:tblCellMar>
        </w:tblPrEx>
        <w:trPr>
          <w:trHeight w:val="2163" w:hRule="atLeast"/>
        </w:trPr>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870" w:type="dxa"/>
            <w:vMerge w:val="continue"/>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780" w:type="dxa"/>
            <w:vMerge w:val="continue"/>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740" w:type="dxa"/>
            <w:vMerge w:val="continue"/>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6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6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68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小计</w:t>
            </w:r>
          </w:p>
        </w:tc>
        <w:tc>
          <w:tcPr>
            <w:tcW w:w="68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事业     收入</w:t>
            </w:r>
          </w:p>
        </w:tc>
        <w:tc>
          <w:tcPr>
            <w:tcW w:w="68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事业单位经营收入</w:t>
            </w:r>
          </w:p>
        </w:tc>
        <w:tc>
          <w:tcPr>
            <w:tcW w:w="680" w:type="dxa"/>
            <w:tcBorders>
              <w:top w:val="nil"/>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上级补助收入</w:t>
            </w:r>
          </w:p>
        </w:tc>
        <w:tc>
          <w:tcPr>
            <w:tcW w:w="680" w:type="dxa"/>
            <w:tcBorders>
              <w:top w:val="nil"/>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附属单位上缴收入</w:t>
            </w:r>
          </w:p>
        </w:tc>
        <w:tc>
          <w:tcPr>
            <w:tcW w:w="680" w:type="dxa"/>
            <w:tcBorders>
              <w:top w:val="nil"/>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0"/>
              </w:rPr>
            </w:pPr>
            <w:r>
              <w:rPr>
                <w:rFonts w:hint="default" w:ascii="TimesNewRoman" w:hAnsi="TimesNewRoman" w:cs="TimesNewRoman"/>
                <w:b/>
                <w:kern w:val="0"/>
                <w:sz w:val="20"/>
              </w:rPr>
              <w:t>其他   收入</w:t>
            </w:r>
          </w:p>
        </w:tc>
        <w:tc>
          <w:tcPr>
            <w:tcW w:w="680" w:type="dxa"/>
            <w:vMerge w:val="continue"/>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680" w:type="dxa"/>
            <w:vMerge w:val="continue"/>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680" w:type="dxa"/>
            <w:vMerge w:val="continue"/>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680" w:type="dxa"/>
            <w:vMerge w:val="continue"/>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680" w:type="dxa"/>
            <w:vMerge w:val="continue"/>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680" w:type="dxa"/>
            <w:vMerge w:val="continue"/>
            <w:tcBorders>
              <w:top w:val="nil"/>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r>
      <w:tr>
        <w:tblPrEx>
          <w:tblCellMar>
            <w:top w:w="0" w:type="dxa"/>
            <w:left w:w="108" w:type="dxa"/>
            <w:bottom w:w="0" w:type="dxa"/>
            <w:right w:w="108" w:type="dxa"/>
          </w:tblCellMar>
        </w:tblPrEx>
        <w:trPr>
          <w:trHeight w:val="360" w:hRule="atLeast"/>
        </w:trPr>
        <w:tc>
          <w:tcPr>
            <w:tcW w:w="12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eastAsia" w:ascii="TimesNewRoman" w:hAnsi="TimesNewRoman" w:eastAsia="仿宋_GB2312" w:cs="TimesNewRoman"/>
                <w:kern w:val="0"/>
                <w:sz w:val="20"/>
                <w:lang w:eastAsia="zh-CN"/>
              </w:rPr>
            </w:pPr>
            <w:r>
              <w:rPr>
                <w:rFonts w:hint="eastAsia" w:ascii="TimesNewRoman" w:hAnsi="TimesNewRoman" w:cs="TimesNewRoman"/>
                <w:kern w:val="0"/>
                <w:sz w:val="20"/>
                <w:lang w:eastAsia="zh-CN"/>
              </w:rPr>
              <w:t>中国致公党安庆市委员会</w:t>
            </w:r>
          </w:p>
        </w:tc>
        <w:tc>
          <w:tcPr>
            <w:tcW w:w="885"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szCs w:val="22"/>
              </w:rPr>
            </w:pPr>
            <w:r>
              <w:rPr>
                <w:rFonts w:hint="eastAsia" w:ascii="TimesNewRoman" w:hAnsi="TimesNewRoman" w:cs="TimesNewRoman"/>
                <w:kern w:val="0"/>
                <w:sz w:val="22"/>
                <w:szCs w:val="22"/>
                <w:lang w:val="en-US" w:eastAsia="zh-CN"/>
              </w:rPr>
              <w:t>58.42</w:t>
            </w:r>
            <w:r>
              <w:rPr>
                <w:rFonts w:hint="default" w:ascii="TimesNewRoman" w:hAnsi="TimesNewRoman" w:cs="TimesNewRoman"/>
                <w:kern w:val="0"/>
                <w:sz w:val="22"/>
                <w:szCs w:val="22"/>
              </w:rPr>
              <w:t>　</w:t>
            </w:r>
          </w:p>
        </w:tc>
        <w:tc>
          <w:tcPr>
            <w:tcW w:w="8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szCs w:val="22"/>
              </w:rPr>
            </w:pPr>
            <w:r>
              <w:rPr>
                <w:rFonts w:hint="default" w:ascii="TimesNewRoman" w:hAnsi="TimesNewRoman" w:cs="TimesNewRoman"/>
                <w:kern w:val="0"/>
                <w:sz w:val="22"/>
                <w:szCs w:val="22"/>
              </w:rPr>
              <w:t>58.42　</w:t>
            </w:r>
          </w:p>
        </w:tc>
        <w:tc>
          <w:tcPr>
            <w:tcW w:w="7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szCs w:val="22"/>
              </w:rPr>
            </w:pPr>
            <w:r>
              <w:rPr>
                <w:rFonts w:hint="default" w:ascii="TimesNewRoman" w:hAnsi="TimesNewRoman" w:cs="TimesNewRoman"/>
                <w:kern w:val="0"/>
                <w:sz w:val="22"/>
                <w:szCs w:val="22"/>
              </w:rPr>
              <w:t>58.42　</w:t>
            </w:r>
          </w:p>
        </w:tc>
        <w:tc>
          <w:tcPr>
            <w:tcW w:w="74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6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bl>
    <w:p>
      <w:pPr>
        <w:keepNext w:val="0"/>
        <w:keepLines w:val="0"/>
        <w:pageBreakBefore w:val="0"/>
        <w:kinsoku/>
        <w:overflowPunct/>
        <w:topLinePunct w:val="0"/>
        <w:autoSpaceDE/>
        <w:autoSpaceDN/>
        <w:bidi w:val="0"/>
        <w:spacing w:line="560" w:lineRule="exact"/>
        <w:rPr>
          <w:rFonts w:hint="default" w:ascii="TimesNewRoman" w:hAnsi="TimesNewRoman" w:cs="TimesNewRoman"/>
          <w:kern w:val="0"/>
          <w:sz w:val="20"/>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r>
        <w:rPr>
          <w:rFonts w:hint="default" w:ascii="TimesNewRoman" w:hAnsi="TimesNewRoman" w:cs="TimesNewRoman"/>
          <w:kern w:val="0"/>
          <w:sz w:val="20"/>
        </w:rPr>
        <w:t>备注：本表金额转换成万元保留2位小数时，因四舍五入可能存在尾差。</w:t>
      </w:r>
    </w:p>
    <w:p>
      <w:pPr>
        <w:keepNext w:val="0"/>
        <w:keepLines w:val="0"/>
        <w:pageBreakBefore w:val="0"/>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xml:space="preserve">                                         </w:t>
      </w:r>
      <w:r>
        <w:rPr>
          <w:rFonts w:hint="eastAsia" w:ascii="TimesNewRoman" w:hAnsi="TimesNewRoman" w:cs="TimesNewRoman"/>
          <w:kern w:val="0"/>
          <w:sz w:val="20"/>
          <w:lang w:val="en-US" w:eastAsia="zh-CN"/>
        </w:rPr>
        <w:t xml:space="preserve">                  </w:t>
      </w:r>
      <w:r>
        <w:rPr>
          <w:rFonts w:hint="default" w:ascii="TimesNewRoman" w:hAnsi="TimesNewRoman" w:cs="TimesNewRoman"/>
          <w:kern w:val="0"/>
          <w:sz w:val="20"/>
        </w:rPr>
        <w:t>部门公开表3</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TimesNewRoman" w:hAnsi="TimesNewRoman" w:cs="TimesNewRoman"/>
          <w:kern w:val="0"/>
          <w:sz w:val="20"/>
          <w:lang w:val="en-US" w:eastAsia="zh-CN"/>
        </w:rPr>
      </w:pPr>
      <w:r>
        <w:rPr>
          <w:rFonts w:hint="eastAsia" w:ascii="TimesNewRoman" w:hAnsi="TimesNewRoman" w:eastAsia="华文中宋" w:cs="TimesNewRoman"/>
          <w:b/>
          <w:bCs/>
          <w:kern w:val="0"/>
          <w:szCs w:val="32"/>
          <w:lang w:eastAsia="zh-CN"/>
        </w:rPr>
        <w:t>中国致公党安庆市委员会</w:t>
      </w:r>
      <w:r>
        <w:rPr>
          <w:rFonts w:hint="default" w:ascii="TimesNewRoman" w:hAnsi="TimesNewRoman" w:eastAsia="华文中宋" w:cs="TimesNewRoman"/>
          <w:b/>
          <w:bCs/>
          <w:kern w:val="0"/>
          <w:szCs w:val="32"/>
        </w:rPr>
        <w:t>202</w:t>
      </w:r>
      <w:r>
        <w:rPr>
          <w:rFonts w:hint="eastAsia" w:ascii="TimesNewRoman" w:hAnsi="TimesNewRoman" w:eastAsia="华文中宋" w:cs="TimesNewRoman"/>
          <w:b/>
          <w:bCs/>
          <w:kern w:val="0"/>
          <w:szCs w:val="32"/>
          <w:lang w:val="en-US" w:eastAsia="zh-CN"/>
        </w:rPr>
        <w:t>3</w:t>
      </w:r>
      <w:r>
        <w:rPr>
          <w:rFonts w:hint="default" w:ascii="TimesNewRoman" w:hAnsi="TimesNewRoman" w:eastAsia="华文中宋" w:cs="TimesNewRoman"/>
          <w:b/>
          <w:bCs/>
          <w:kern w:val="0"/>
          <w:szCs w:val="32"/>
        </w:rPr>
        <w:t>年支出总表</w:t>
      </w:r>
      <w:r>
        <w:rPr>
          <w:rFonts w:hint="default" w:ascii="TimesNewRoman" w:hAnsi="TimesNewRoman" w:cs="TimesNewRoman"/>
          <w:kern w:val="0"/>
          <w:sz w:val="20"/>
        </w:rPr>
        <w:t xml:space="preserve">                                                                                           </w:t>
      </w:r>
      <w:r>
        <w:rPr>
          <w:rFonts w:hint="eastAsia" w:ascii="TimesNewRoman" w:hAnsi="TimesNewRoman" w:cs="TimesNewRoman"/>
          <w:kern w:val="0"/>
          <w:sz w:val="20"/>
          <w:lang w:val="en-US" w:eastAsia="zh-CN"/>
        </w:rPr>
        <w:t xml:space="preserve">                            </w:t>
      </w:r>
    </w:p>
    <w:p>
      <w:pPr>
        <w:keepNext w:val="0"/>
        <w:keepLines w:val="0"/>
        <w:pageBreakBefore w:val="0"/>
        <w:kinsoku/>
        <w:overflowPunct/>
        <w:topLinePunct w:val="0"/>
        <w:autoSpaceDE/>
        <w:autoSpaceDN/>
        <w:bidi w:val="0"/>
        <w:spacing w:line="560" w:lineRule="exact"/>
        <w:jc w:val="right"/>
        <w:rPr>
          <w:rFonts w:hint="default" w:ascii="TimesNewRoman" w:hAnsi="TimesNewRoman" w:cs="TimesNewRoman"/>
          <w:kern w:val="0"/>
          <w:sz w:val="20"/>
        </w:rPr>
      </w:pPr>
      <w:r>
        <w:rPr>
          <w:rFonts w:hint="eastAsia" w:ascii="TimesNewRoman" w:hAnsi="TimesNewRoman" w:cs="TimesNewRoman"/>
          <w:kern w:val="0"/>
          <w:sz w:val="20"/>
          <w:lang w:val="en-US" w:eastAsia="zh-CN"/>
        </w:rPr>
        <w:t xml:space="preserve">      </w:t>
      </w:r>
      <w:r>
        <w:rPr>
          <w:rFonts w:hint="default" w:ascii="TimesNewRoman" w:hAnsi="TimesNewRoman" w:cs="TimesNewRoman"/>
          <w:kern w:val="0"/>
          <w:sz w:val="20"/>
        </w:rPr>
        <w:t>单位：万元</w:t>
      </w:r>
    </w:p>
    <w:tbl>
      <w:tblPr>
        <w:tblStyle w:val="4"/>
        <w:tblW w:w="8931" w:type="dxa"/>
        <w:tblInd w:w="0" w:type="dxa"/>
        <w:tblLayout w:type="fixed"/>
        <w:tblCellMar>
          <w:top w:w="0" w:type="dxa"/>
          <w:left w:w="108" w:type="dxa"/>
          <w:bottom w:w="0" w:type="dxa"/>
          <w:right w:w="108" w:type="dxa"/>
        </w:tblCellMar>
      </w:tblPr>
      <w:tblGrid>
        <w:gridCol w:w="1054"/>
        <w:gridCol w:w="2890"/>
        <w:gridCol w:w="780"/>
        <w:gridCol w:w="760"/>
        <w:gridCol w:w="740"/>
        <w:gridCol w:w="920"/>
        <w:gridCol w:w="870"/>
        <w:gridCol w:w="917"/>
      </w:tblGrid>
      <w:tr>
        <w:tblPrEx>
          <w:tblCellMar>
            <w:top w:w="0" w:type="dxa"/>
            <w:left w:w="108" w:type="dxa"/>
            <w:bottom w:w="0" w:type="dxa"/>
            <w:right w:w="108" w:type="dxa"/>
          </w:tblCellMar>
        </w:tblPrEx>
        <w:trPr>
          <w:trHeight w:val="1535" w:hRule="atLeast"/>
        </w:trPr>
        <w:tc>
          <w:tcPr>
            <w:tcW w:w="10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科目</w:t>
            </w:r>
          </w:p>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编码</w:t>
            </w:r>
          </w:p>
        </w:tc>
        <w:tc>
          <w:tcPr>
            <w:tcW w:w="289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科目名称</w:t>
            </w:r>
          </w:p>
        </w:tc>
        <w:tc>
          <w:tcPr>
            <w:tcW w:w="7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合计</w:t>
            </w:r>
          </w:p>
        </w:tc>
        <w:tc>
          <w:tcPr>
            <w:tcW w:w="7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基本支出</w:t>
            </w:r>
          </w:p>
        </w:tc>
        <w:tc>
          <w:tcPr>
            <w:tcW w:w="74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项目支出</w:t>
            </w:r>
          </w:p>
        </w:tc>
        <w:tc>
          <w:tcPr>
            <w:tcW w:w="92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事业单位经营支出</w:t>
            </w:r>
          </w:p>
        </w:tc>
        <w:tc>
          <w:tcPr>
            <w:tcW w:w="8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上缴上级支出</w:t>
            </w:r>
          </w:p>
        </w:tc>
        <w:tc>
          <w:tcPr>
            <w:tcW w:w="91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对附属单位补助支出</w:t>
            </w: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lang w:val="en-US"/>
              </w:rPr>
            </w:pPr>
            <w:r>
              <w:rPr>
                <w:rFonts w:hint="eastAsia" w:eastAsia="宋体" w:cs="Times New Roman"/>
                <w:i w:val="0"/>
                <w:iCs w:val="0"/>
                <w:color w:val="000000"/>
                <w:kern w:val="0"/>
                <w:sz w:val="22"/>
                <w:szCs w:val="22"/>
                <w:u w:val="none"/>
                <w:lang w:val="en-US" w:eastAsia="zh-CN" w:bidi="ar"/>
              </w:rPr>
              <w:t>201</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一般公共服务支出</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48.92</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31.02</w:t>
            </w:r>
          </w:p>
        </w:tc>
        <w:tc>
          <w:tcPr>
            <w:tcW w:w="7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17.90</w:t>
            </w: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20128</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民主党派及工商联事务</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48.92</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31.02</w:t>
            </w:r>
          </w:p>
        </w:tc>
        <w:tc>
          <w:tcPr>
            <w:tcW w:w="7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17.90</w:t>
            </w: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2012802</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一般行政管理事务</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76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7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2012804</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参政议政</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7.90</w:t>
            </w:r>
          </w:p>
        </w:tc>
        <w:tc>
          <w:tcPr>
            <w:tcW w:w="76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7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7.90</w:t>
            </w: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2012899</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其他民主党派及工商联事务支出</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76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7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2012801</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cs="Times New Roman"/>
                <w:kern w:val="0"/>
                <w:sz w:val="22"/>
                <w:szCs w:val="22"/>
                <w:lang w:val="en-US" w:eastAsia="zh-CN"/>
              </w:rPr>
            </w:pPr>
            <w:r>
              <w:rPr>
                <w:rFonts w:hint="eastAsia" w:ascii="Times New Roman" w:hAnsi="Times New Roman" w:cs="Times New Roman"/>
                <w:kern w:val="0"/>
                <w:sz w:val="22"/>
                <w:szCs w:val="22"/>
                <w:lang w:val="en-US" w:eastAsia="zh-CN"/>
              </w:rPr>
              <w:t>行政运行</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31.02</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31.02</w:t>
            </w:r>
          </w:p>
        </w:tc>
        <w:tc>
          <w:tcPr>
            <w:tcW w:w="74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208</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社会保障和就业支出</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5.10</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5.10</w:t>
            </w:r>
          </w:p>
        </w:tc>
        <w:tc>
          <w:tcPr>
            <w:tcW w:w="74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20805</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行政事业单位养老支出</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5.10</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5.10</w:t>
            </w:r>
          </w:p>
        </w:tc>
        <w:tc>
          <w:tcPr>
            <w:tcW w:w="74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2080505</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机关事业单位基本养老保险缴费支出</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3.40</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3.40</w:t>
            </w:r>
          </w:p>
        </w:tc>
        <w:tc>
          <w:tcPr>
            <w:tcW w:w="74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2080506</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机关事业单位职业年金缴费支出</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74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210</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卫生健康支出</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74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21011</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行政事业单位医疗</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74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r>
      <w:tr>
        <w:tblPrEx>
          <w:tblCellMar>
            <w:top w:w="0" w:type="dxa"/>
            <w:left w:w="108" w:type="dxa"/>
            <w:bottom w:w="0" w:type="dxa"/>
            <w:right w:w="108" w:type="dxa"/>
          </w:tblCellMar>
        </w:tblPrEx>
        <w:trPr>
          <w:trHeight w:val="47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2101101</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行政单位医疗</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74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2101103</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公务员医疗补助</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0.43</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0.43</w:t>
            </w:r>
          </w:p>
        </w:tc>
        <w:tc>
          <w:tcPr>
            <w:tcW w:w="74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r>
      <w:tr>
        <w:tblPrEx>
          <w:tblCellMar>
            <w:top w:w="0" w:type="dxa"/>
            <w:left w:w="108" w:type="dxa"/>
            <w:bottom w:w="0" w:type="dxa"/>
            <w:right w:w="108" w:type="dxa"/>
          </w:tblCellMar>
        </w:tblPrEx>
        <w:trPr>
          <w:trHeight w:val="36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221</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住房保障支出</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74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p>
        </w:tc>
      </w:tr>
      <w:tr>
        <w:tblPrEx>
          <w:tblCellMar>
            <w:top w:w="0" w:type="dxa"/>
            <w:left w:w="108" w:type="dxa"/>
            <w:bottom w:w="0" w:type="dxa"/>
            <w:right w:w="108" w:type="dxa"/>
          </w:tblCellMar>
        </w:tblPrEx>
        <w:trPr>
          <w:trHeight w:val="44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22102</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住房改革支出</w:t>
            </w:r>
          </w:p>
        </w:tc>
        <w:tc>
          <w:tcPr>
            <w:tcW w:w="78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76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74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440" w:hRule="atLeast"/>
        </w:trPr>
        <w:tc>
          <w:tcPr>
            <w:tcW w:w="105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2210201</w:t>
            </w:r>
          </w:p>
        </w:tc>
        <w:tc>
          <w:tcPr>
            <w:tcW w:w="289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880" w:firstLineChars="400"/>
              <w:jc w:val="left"/>
              <w:textAlignment w:val="center"/>
              <w:rPr>
                <w:rFonts w:hint="default" w:ascii="Times New Roman" w:hAnsi="Times New Roman" w:cs="Times New Roman"/>
                <w:kern w:val="0"/>
                <w:sz w:val="22"/>
                <w:szCs w:val="22"/>
                <w:lang w:val="en-US" w:eastAsia="zh-CN"/>
              </w:rPr>
            </w:pPr>
            <w:r>
              <w:rPr>
                <w:rFonts w:hint="default" w:ascii="Times New Roman" w:hAnsi="Times New Roman" w:cs="Times New Roman"/>
                <w:kern w:val="0"/>
                <w:sz w:val="22"/>
                <w:szCs w:val="22"/>
                <w:lang w:val="en-US" w:eastAsia="zh-CN"/>
              </w:rPr>
              <w:t>住房公积金</w:t>
            </w:r>
          </w:p>
        </w:tc>
        <w:tc>
          <w:tcPr>
            <w:tcW w:w="7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76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7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right"/>
              <w:rPr>
                <w:rFonts w:hint="default" w:ascii="Times New Roman" w:hAnsi="Times New Roman" w:cs="Times New Roman"/>
                <w:kern w:val="0"/>
                <w:sz w:val="22"/>
                <w:szCs w:val="22"/>
              </w:rPr>
            </w:pP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3944" w:type="dxa"/>
            <w:gridSpan w:val="2"/>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cs="TimesNewRoman"/>
                <w:b/>
                <w:bCs/>
                <w:kern w:val="0"/>
                <w:sz w:val="22"/>
              </w:rPr>
            </w:pPr>
            <w:r>
              <w:rPr>
                <w:rFonts w:hint="eastAsia" w:ascii="TimesNewRoman" w:hAnsi="TimesNewRoman" w:cs="TimesNewRoman"/>
                <w:b/>
                <w:bCs/>
                <w:kern w:val="0"/>
                <w:sz w:val="22"/>
                <w:lang w:eastAsia="zh-CN"/>
              </w:rPr>
              <w:t>合</w:t>
            </w:r>
            <w:r>
              <w:rPr>
                <w:rFonts w:hint="default" w:ascii="TimesNewRoman" w:hAnsi="TimesNewRoman" w:cs="TimesNewRoman"/>
                <w:b/>
                <w:bCs/>
                <w:kern w:val="0"/>
                <w:sz w:val="22"/>
              </w:rPr>
              <w:t xml:space="preserve"> 计</w:t>
            </w:r>
          </w:p>
        </w:tc>
        <w:tc>
          <w:tcPr>
            <w:tcW w:w="7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eastAsia" w:ascii="TimesNewRoman" w:hAnsi="TimesNewRoman" w:cs="TimesNewRoman"/>
                <w:b/>
                <w:bCs/>
                <w:kern w:val="0"/>
                <w:sz w:val="22"/>
                <w:lang w:val="en-US" w:eastAsia="zh-CN"/>
              </w:rPr>
              <w:t>58.42</w:t>
            </w:r>
            <w:r>
              <w:rPr>
                <w:rFonts w:hint="default" w:ascii="TimesNewRoman" w:hAnsi="TimesNewRoman" w:cs="TimesNewRoman"/>
                <w:b/>
                <w:bCs/>
                <w:kern w:val="0"/>
                <w:sz w:val="22"/>
              </w:rPr>
              <w:t>　</w:t>
            </w:r>
          </w:p>
        </w:tc>
        <w:tc>
          <w:tcPr>
            <w:tcW w:w="7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eastAsia" w:ascii="TimesNewRoman" w:hAnsi="TimesNewRoman" w:cs="TimesNewRoman"/>
                <w:b/>
                <w:bCs/>
                <w:kern w:val="0"/>
                <w:sz w:val="22"/>
                <w:lang w:val="en-US" w:eastAsia="zh-CN"/>
              </w:rPr>
              <w:t>40.52</w:t>
            </w:r>
            <w:r>
              <w:rPr>
                <w:rFonts w:hint="default" w:ascii="TimesNewRoman" w:hAnsi="TimesNewRoman" w:cs="TimesNewRoman"/>
                <w:b/>
                <w:bCs/>
                <w:kern w:val="0"/>
                <w:sz w:val="22"/>
              </w:rPr>
              <w:t>　</w:t>
            </w:r>
          </w:p>
        </w:tc>
        <w:tc>
          <w:tcPr>
            <w:tcW w:w="7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eastAsia" w:ascii="TimesNewRoman" w:hAnsi="TimesNewRoman" w:cs="TimesNewRoman"/>
                <w:b/>
                <w:bCs/>
                <w:kern w:val="0"/>
                <w:sz w:val="22"/>
                <w:lang w:val="en-US" w:eastAsia="zh-CN"/>
              </w:rPr>
              <w:t>17.90</w:t>
            </w:r>
            <w:r>
              <w:rPr>
                <w:rFonts w:hint="default" w:ascii="TimesNewRoman" w:hAnsi="TimesNewRoman" w:cs="TimesNewRoman"/>
                <w:b/>
                <w:bCs/>
                <w:kern w:val="0"/>
                <w:sz w:val="22"/>
              </w:rPr>
              <w:t>　</w:t>
            </w:r>
          </w:p>
        </w:tc>
        <w:tc>
          <w:tcPr>
            <w:tcW w:w="9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8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91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r>
    </w:tbl>
    <w:p>
      <w:pPr>
        <w:keepNext w:val="0"/>
        <w:keepLines w:val="0"/>
        <w:pageBreakBefore w:val="0"/>
        <w:kinsoku/>
        <w:overflowPunct/>
        <w:topLinePunct w:val="0"/>
        <w:autoSpaceDE/>
        <w:autoSpaceDN/>
        <w:bidi w:val="0"/>
        <w:spacing w:line="560" w:lineRule="exact"/>
        <w:rPr>
          <w:rFonts w:hint="default" w:ascii="TimesNewRoman" w:hAnsi="TimesNewRoman" w:cs="TimesNewRoman"/>
          <w:kern w:val="0"/>
          <w:sz w:val="20"/>
        </w:rPr>
      </w:pPr>
      <w:r>
        <w:rPr>
          <w:rFonts w:hint="default" w:ascii="TimesNewRoman" w:hAnsi="TimesNewRoman" w:cs="TimesNewRoman"/>
          <w:kern w:val="0"/>
          <w:sz w:val="20"/>
        </w:rPr>
        <w:t xml:space="preserve">备注：本表金额转换成万元保留2位小数时，因四舍五入可能存在尾差。                                                             </w:t>
      </w:r>
    </w:p>
    <w:p>
      <w:pPr>
        <w:keepNext w:val="0"/>
        <w:keepLines w:val="0"/>
        <w:pageBreakBefore w:val="0"/>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部门公开表4</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NewRoman" w:hAnsi="TimesNewRoman" w:eastAsia="华文中宋" w:cs="TimesNewRoman"/>
          <w:b/>
          <w:bCs/>
          <w:kern w:val="0"/>
          <w:sz w:val="30"/>
          <w:szCs w:val="30"/>
        </w:rPr>
      </w:pPr>
      <w:r>
        <w:rPr>
          <w:rFonts w:hint="eastAsia" w:ascii="TimesNewRoman" w:hAnsi="TimesNewRoman" w:eastAsia="华文中宋" w:cs="TimesNewRoman"/>
          <w:b/>
          <w:bCs/>
          <w:kern w:val="0"/>
          <w:sz w:val="30"/>
          <w:szCs w:val="30"/>
          <w:lang w:eastAsia="zh-CN"/>
        </w:rPr>
        <w:t>中国致公党安庆市委员会</w:t>
      </w:r>
      <w:r>
        <w:rPr>
          <w:rFonts w:hint="default" w:ascii="TimesNewRoman" w:hAnsi="TimesNewRoman" w:eastAsia="华文中宋" w:cs="TimesNewRoman"/>
          <w:b/>
          <w:bCs/>
          <w:kern w:val="0"/>
          <w:sz w:val="30"/>
          <w:szCs w:val="30"/>
        </w:rPr>
        <w:t>202</w:t>
      </w:r>
      <w:r>
        <w:rPr>
          <w:rFonts w:hint="eastAsia" w:ascii="TimesNewRoman" w:hAnsi="TimesNewRoman" w:eastAsia="华文中宋" w:cs="TimesNewRoman"/>
          <w:b/>
          <w:bCs/>
          <w:kern w:val="0"/>
          <w:sz w:val="30"/>
          <w:szCs w:val="30"/>
          <w:lang w:val="en-US" w:eastAsia="zh-CN"/>
        </w:rPr>
        <w:t>3</w:t>
      </w:r>
      <w:r>
        <w:rPr>
          <w:rFonts w:hint="default" w:ascii="TimesNewRoman" w:hAnsi="TimesNewRoman" w:eastAsia="华文中宋" w:cs="TimesNewRoman"/>
          <w:b/>
          <w:bCs/>
          <w:kern w:val="0"/>
          <w:sz w:val="30"/>
          <w:szCs w:val="30"/>
        </w:rPr>
        <w:t>年财政拨款收支总表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hanging="7400" w:hangingChars="3700"/>
        <w:textAlignment w:val="auto"/>
        <w:rPr>
          <w:rFonts w:hint="default" w:ascii="TimesNewRoman" w:hAnsi="TimesNewRoman" w:cs="TimesNewRoman"/>
          <w:kern w:val="0"/>
          <w:sz w:val="20"/>
        </w:rPr>
      </w:pPr>
      <w:r>
        <w:rPr>
          <w:rFonts w:hint="default" w:ascii="TimesNewRoman" w:hAnsi="TimesNewRoman" w:cs="TimesNewRoman"/>
          <w:kern w:val="0"/>
          <w:sz w:val="20"/>
        </w:rPr>
        <w:t xml:space="preserve">                                                                    单位：万元</w:t>
      </w:r>
    </w:p>
    <w:tbl>
      <w:tblPr>
        <w:tblStyle w:val="4"/>
        <w:tblW w:w="8416" w:type="dxa"/>
        <w:tblInd w:w="0" w:type="dxa"/>
        <w:tblLayout w:type="fixed"/>
        <w:tblCellMar>
          <w:top w:w="0" w:type="dxa"/>
          <w:left w:w="108" w:type="dxa"/>
          <w:bottom w:w="0" w:type="dxa"/>
          <w:right w:w="108" w:type="dxa"/>
        </w:tblCellMar>
      </w:tblPr>
      <w:tblGrid>
        <w:gridCol w:w="2718"/>
        <w:gridCol w:w="1059"/>
        <w:gridCol w:w="3468"/>
        <w:gridCol w:w="1171"/>
      </w:tblGrid>
      <w:tr>
        <w:tblPrEx>
          <w:tblCellMar>
            <w:top w:w="0" w:type="dxa"/>
            <w:left w:w="108" w:type="dxa"/>
            <w:bottom w:w="0" w:type="dxa"/>
            <w:right w:w="108" w:type="dxa"/>
          </w:tblCellMar>
        </w:tblPrEx>
        <w:trPr>
          <w:trHeight w:val="319" w:hRule="atLeast"/>
        </w:trPr>
        <w:tc>
          <w:tcPr>
            <w:tcW w:w="37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收      入</w:t>
            </w:r>
          </w:p>
        </w:tc>
        <w:tc>
          <w:tcPr>
            <w:tcW w:w="4639"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支      出</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项目</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预算数</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项目</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预算数</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一、本年收入</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szCs w:val="22"/>
              </w:rPr>
            </w:pPr>
            <w:r>
              <w:rPr>
                <w:rFonts w:hint="eastAsia" w:ascii="TimesNewRoman" w:hAnsi="TimesNewRoman" w:cs="TimesNewRoman"/>
                <w:kern w:val="0"/>
                <w:sz w:val="22"/>
                <w:szCs w:val="22"/>
                <w:lang w:val="en-US" w:eastAsia="zh-CN"/>
              </w:rPr>
              <w:t>58.42</w:t>
            </w:r>
            <w:r>
              <w:rPr>
                <w:rFonts w:hint="default" w:ascii="TimesNewRoman" w:hAnsi="TimesNewRoman" w:cs="TimesNewRoman"/>
                <w:kern w:val="0"/>
                <w:sz w:val="22"/>
                <w:szCs w:val="22"/>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szCs w:val="22"/>
              </w:rPr>
            </w:pPr>
            <w:r>
              <w:rPr>
                <w:rFonts w:hint="default" w:ascii="TimesNewRoman" w:hAnsi="TimesNewRoman" w:cs="TimesNewRoman"/>
                <w:kern w:val="0"/>
                <w:sz w:val="22"/>
                <w:szCs w:val="22"/>
              </w:rPr>
              <w:t>一、本年支出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szCs w:val="22"/>
              </w:rPr>
            </w:pPr>
            <w:r>
              <w:rPr>
                <w:rFonts w:hint="eastAsia" w:ascii="TimesNewRoman" w:hAnsi="TimesNewRoman" w:cs="TimesNewRoman"/>
                <w:color w:val="auto"/>
                <w:kern w:val="0"/>
                <w:sz w:val="22"/>
                <w:szCs w:val="22"/>
                <w:lang w:val="en-US" w:eastAsia="zh-CN"/>
              </w:rPr>
              <w:t>58.42</w:t>
            </w:r>
            <w:r>
              <w:rPr>
                <w:rFonts w:hint="default" w:ascii="TimesNewRoman" w:hAnsi="TimesNewRoman" w:cs="TimesNewRoman"/>
                <w:kern w:val="0"/>
                <w:sz w:val="22"/>
                <w:szCs w:val="22"/>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（一）一般公共预算拨款</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szCs w:val="22"/>
              </w:rPr>
            </w:pPr>
            <w:r>
              <w:rPr>
                <w:rFonts w:hint="eastAsia" w:ascii="TimesNewRoman" w:hAnsi="TimesNewRoman" w:cs="TimesNewRoman"/>
                <w:kern w:val="0"/>
                <w:sz w:val="22"/>
                <w:szCs w:val="22"/>
                <w:lang w:val="en-US" w:eastAsia="zh-CN"/>
              </w:rPr>
              <w:t>58.42</w:t>
            </w:r>
            <w:r>
              <w:rPr>
                <w:rFonts w:hint="default" w:ascii="TimesNewRoman" w:hAnsi="TimesNewRoman" w:cs="TimesNewRoman"/>
                <w:kern w:val="0"/>
                <w:sz w:val="22"/>
                <w:szCs w:val="22"/>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szCs w:val="22"/>
              </w:rPr>
            </w:pPr>
            <w:r>
              <w:rPr>
                <w:rFonts w:hint="default" w:ascii="TimesNewRoman" w:hAnsi="TimesNewRoman" w:cs="TimesNewRoman"/>
                <w:kern w:val="0"/>
                <w:sz w:val="22"/>
                <w:szCs w:val="22"/>
              </w:rPr>
              <w:t>（一）一般公共服务支出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szCs w:val="22"/>
              </w:rPr>
            </w:pPr>
            <w:r>
              <w:rPr>
                <w:rFonts w:hint="eastAsia" w:ascii="TimesNewRoman" w:hAnsi="TimesNewRoman" w:cs="TimesNewRoman"/>
                <w:kern w:val="0"/>
                <w:sz w:val="22"/>
                <w:szCs w:val="22"/>
                <w:lang w:val="en-US" w:eastAsia="zh-CN"/>
              </w:rPr>
              <w:t>48.92</w:t>
            </w:r>
            <w:r>
              <w:rPr>
                <w:rFonts w:hint="default" w:ascii="TimesNewRoman" w:hAnsi="TimesNewRoman" w:cs="TimesNewRoman"/>
                <w:kern w:val="0"/>
                <w:sz w:val="22"/>
                <w:szCs w:val="22"/>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（二）政府性基金预算拨款</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（二）外交支出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（三）国有资本经营预算拨款</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（三）国防支出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（四）公共安全支出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eastAsia="仿宋_GB2312" w:cs="TimesNewRoman"/>
                <w:kern w:val="0"/>
                <w:sz w:val="20"/>
                <w:lang w:val="en-US" w:eastAsia="zh-CN" w:bidi="ar-SA"/>
              </w:rPr>
            </w:pPr>
            <w:r>
              <w:rPr>
                <w:rFonts w:hint="default" w:ascii="TimesNewRoman" w:hAnsi="TimesNewRoman" w:cs="TimesNewRoman"/>
                <w:kern w:val="0"/>
                <w:sz w:val="20"/>
              </w:rPr>
              <w:t>二、上年结转</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（五）教育支出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eastAsia="仿宋_GB2312" w:cs="TimesNewRoman"/>
                <w:kern w:val="0"/>
                <w:sz w:val="20"/>
                <w:lang w:val="en-US" w:eastAsia="zh-CN" w:bidi="ar-SA"/>
              </w:rPr>
            </w:pPr>
            <w:r>
              <w:rPr>
                <w:rFonts w:hint="default" w:ascii="TimesNewRoman" w:hAnsi="TimesNewRoman" w:cs="TimesNewRoman"/>
                <w:kern w:val="0"/>
                <w:sz w:val="20"/>
              </w:rPr>
              <w:t>（一）一般公共预算拨款</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（六）科学技术支出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eastAsia="仿宋_GB2312" w:cs="TimesNewRoman"/>
                <w:kern w:val="0"/>
                <w:sz w:val="20"/>
                <w:lang w:val="en-US" w:eastAsia="zh-CN" w:bidi="ar-SA"/>
              </w:rPr>
            </w:pPr>
            <w:r>
              <w:rPr>
                <w:rFonts w:hint="default" w:ascii="TimesNewRoman" w:hAnsi="TimesNewRoman" w:cs="TimesNewRoman"/>
                <w:kern w:val="0"/>
                <w:sz w:val="20"/>
              </w:rPr>
              <w:t>（二）政府性基金预算拨款</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（七）文化旅游体育与传媒支出</w:t>
            </w:r>
          </w:p>
        </w:tc>
        <w:tc>
          <w:tcPr>
            <w:tcW w:w="117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eastAsia="仿宋_GB2312" w:cs="TimesNewRoman"/>
                <w:kern w:val="0"/>
                <w:sz w:val="20"/>
                <w:lang w:val="en-US" w:eastAsia="zh-CN" w:bidi="ar-SA"/>
              </w:rPr>
            </w:pPr>
            <w:r>
              <w:rPr>
                <w:rFonts w:hint="default" w:ascii="TimesNewRoman" w:hAnsi="TimesNewRoman" w:cs="TimesNewRoman"/>
                <w:kern w:val="0"/>
                <w:sz w:val="20"/>
              </w:rPr>
              <w:t>（三）国有资本经营预算拨款</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c>
          <w:tcPr>
            <w:tcW w:w="3468"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（八）社会保障和就业支出</w:t>
            </w:r>
          </w:p>
        </w:tc>
        <w:tc>
          <w:tcPr>
            <w:tcW w:w="117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szCs w:val="22"/>
              </w:rPr>
            </w:pPr>
            <w:r>
              <w:rPr>
                <w:rFonts w:hint="eastAsia" w:ascii="TimesNewRoman" w:hAnsi="TimesNewRoman" w:cs="TimesNewRoman"/>
                <w:kern w:val="0"/>
                <w:sz w:val="22"/>
                <w:szCs w:val="22"/>
                <w:lang w:val="en-US" w:eastAsia="zh-CN"/>
              </w:rPr>
              <w:t>5.10</w:t>
            </w:r>
            <w:r>
              <w:rPr>
                <w:rFonts w:hint="default" w:ascii="TimesNewRoman" w:hAnsi="TimesNewRoman" w:cs="TimesNewRoman"/>
                <w:kern w:val="0"/>
                <w:sz w:val="22"/>
                <w:szCs w:val="22"/>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（九）卫生健康支出</w:t>
            </w:r>
          </w:p>
        </w:tc>
        <w:tc>
          <w:tcPr>
            <w:tcW w:w="117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szCs w:val="22"/>
              </w:rPr>
            </w:pPr>
            <w:r>
              <w:rPr>
                <w:rFonts w:hint="eastAsia" w:ascii="TimesNewRoman" w:hAnsi="TimesNewRoman" w:cs="TimesNewRoman"/>
                <w:kern w:val="0"/>
                <w:sz w:val="22"/>
                <w:szCs w:val="22"/>
                <w:lang w:val="en-US" w:eastAsia="zh-CN"/>
              </w:rPr>
              <w:t>1.46</w:t>
            </w:r>
            <w:r>
              <w:rPr>
                <w:rFonts w:hint="default" w:ascii="TimesNewRoman" w:hAnsi="TimesNewRoman" w:cs="TimesNewRoman"/>
                <w:kern w:val="0"/>
                <w:sz w:val="22"/>
                <w:szCs w:val="22"/>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（十）节能环保支出</w:t>
            </w:r>
          </w:p>
        </w:tc>
        <w:tc>
          <w:tcPr>
            <w:tcW w:w="117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（十一）城乡社区支出</w:t>
            </w:r>
          </w:p>
        </w:tc>
        <w:tc>
          <w:tcPr>
            <w:tcW w:w="117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（十二）农林水支出</w:t>
            </w:r>
          </w:p>
        </w:tc>
        <w:tc>
          <w:tcPr>
            <w:tcW w:w="117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（十三）交通运输支出</w:t>
            </w:r>
          </w:p>
        </w:tc>
        <w:tc>
          <w:tcPr>
            <w:tcW w:w="117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（十四）资源勘探工业信息等支出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（十五）商业服务业等支出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（十六）金融支出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（十七）援助其他地区支出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377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0"/>
              </w:rPr>
            </w:pPr>
            <w:r>
              <w:rPr>
                <w:rFonts w:hint="default" w:ascii="TimesNewRoman" w:hAnsi="TimesNewRoman" w:cs="TimesNewRoman"/>
                <w:b/>
                <w:bCs/>
                <w:kern w:val="0"/>
                <w:sz w:val="20"/>
              </w:rPr>
              <w:t>收      入</w:t>
            </w:r>
          </w:p>
        </w:tc>
        <w:tc>
          <w:tcPr>
            <w:tcW w:w="463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0"/>
              </w:rPr>
            </w:pPr>
            <w:r>
              <w:rPr>
                <w:rFonts w:hint="default" w:ascii="TimesNewRoman" w:hAnsi="TimesNewRoman" w:cs="TimesNewRoman"/>
                <w:b/>
                <w:bCs/>
                <w:kern w:val="0"/>
                <w:sz w:val="20"/>
              </w:rPr>
              <w:t>支      出</w:t>
            </w:r>
          </w:p>
        </w:tc>
      </w:tr>
      <w:tr>
        <w:tblPrEx>
          <w:tblCellMar>
            <w:top w:w="0" w:type="dxa"/>
            <w:left w:w="108" w:type="dxa"/>
            <w:bottom w:w="0" w:type="dxa"/>
            <w:right w:w="108" w:type="dxa"/>
          </w:tblCellMar>
        </w:tblPrEx>
        <w:trPr>
          <w:trHeight w:val="319" w:hRule="atLeast"/>
        </w:trPr>
        <w:tc>
          <w:tcPr>
            <w:tcW w:w="2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（十八）自然资源海洋气象等支出</w:t>
            </w:r>
          </w:p>
        </w:tc>
        <w:tc>
          <w:tcPr>
            <w:tcW w:w="11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（十九）住房保障支出</w:t>
            </w:r>
          </w:p>
        </w:tc>
        <w:tc>
          <w:tcPr>
            <w:tcW w:w="117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eastAsia" w:ascii="TimesNewRoman" w:hAnsi="TimesNewRoman" w:cs="TimesNewRoman"/>
                <w:kern w:val="0"/>
                <w:sz w:val="22"/>
                <w:szCs w:val="22"/>
                <w:lang w:val="en-US" w:eastAsia="zh-CN"/>
              </w:rPr>
              <w:t>2.93</w:t>
            </w: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（二十）粮油物资储备支出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（二十一）灾害防治及应急管理支出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（二十二）预备费</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（二十三）其他支出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（二十四）转移性支出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（二十五）债务还本支出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（二十六）债务付息支出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（二十七）债务发行费用支出</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二、年终结转结余</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（一）一般公共预算结转结余</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（二）政府性基金预算结转结余</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（三）国有资本经营预算结转结余</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收    入    总    计</w:t>
            </w:r>
          </w:p>
        </w:tc>
        <w:tc>
          <w:tcPr>
            <w:tcW w:w="105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b/>
                <w:bCs/>
                <w:kern w:val="0"/>
                <w:sz w:val="20"/>
              </w:rPr>
            </w:pPr>
            <w:r>
              <w:rPr>
                <w:rFonts w:hint="eastAsia" w:ascii="TimesNewRoman" w:hAnsi="TimesNewRoman" w:cs="TimesNewRoman"/>
                <w:b/>
                <w:bCs/>
                <w:kern w:val="0"/>
                <w:sz w:val="22"/>
                <w:szCs w:val="22"/>
                <w:lang w:val="en-US" w:eastAsia="zh-CN"/>
              </w:rPr>
              <w:t>58.42</w:t>
            </w:r>
            <w:r>
              <w:rPr>
                <w:rFonts w:hint="default" w:ascii="TimesNewRoman" w:hAnsi="TimesNewRoman" w:cs="TimesNewRoman"/>
                <w:b/>
                <w:bCs/>
                <w:kern w:val="0"/>
                <w:sz w:val="20"/>
              </w:rPr>
              <w:t>　</w:t>
            </w:r>
          </w:p>
        </w:tc>
        <w:tc>
          <w:tcPr>
            <w:tcW w:w="346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支    出    总    计</w:t>
            </w:r>
          </w:p>
        </w:tc>
        <w:tc>
          <w:tcPr>
            <w:tcW w:w="117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eastAsia" w:ascii="TimesNewRoman" w:hAnsi="TimesNewRoman" w:cs="TimesNewRoman"/>
                <w:b/>
                <w:bCs/>
                <w:kern w:val="0"/>
                <w:sz w:val="22"/>
                <w:szCs w:val="22"/>
                <w:lang w:val="en-US" w:eastAsia="zh-CN"/>
              </w:rPr>
              <w:t>58.42</w:t>
            </w:r>
            <w:r>
              <w:rPr>
                <w:rFonts w:hint="default" w:ascii="TimesNewRoman" w:hAnsi="TimesNewRoman" w:cs="TimesNewRoman"/>
                <w:kern w:val="0"/>
                <w:sz w:val="20"/>
              </w:rPr>
              <w:t>　</w:t>
            </w:r>
          </w:p>
        </w:tc>
      </w:tr>
    </w:tbl>
    <w:p>
      <w:pPr>
        <w:keepNext w:val="0"/>
        <w:keepLines w:val="0"/>
        <w:pageBreakBefore w:val="0"/>
        <w:kinsoku/>
        <w:overflowPunct/>
        <w:topLinePunct w:val="0"/>
        <w:autoSpaceDE/>
        <w:autoSpaceDN/>
        <w:bidi w:val="0"/>
        <w:spacing w:line="560" w:lineRule="exact"/>
        <w:rPr>
          <w:rFonts w:hint="default" w:ascii="TimesNewRoman" w:hAnsi="TimesNewRoman" w:cs="TimesNewRoman"/>
          <w:kern w:val="0"/>
          <w:sz w:val="20"/>
        </w:rPr>
        <w:sectPr>
          <w:footerReference r:id="rId4" w:type="default"/>
          <w:pgSz w:w="11906" w:h="16838"/>
          <w:pgMar w:top="800" w:right="1800" w:bottom="1440" w:left="1800" w:header="851" w:footer="992" w:gutter="0"/>
          <w:pgBorders>
            <w:top w:val="none" w:sz="0" w:space="0"/>
            <w:left w:val="none" w:sz="0" w:space="0"/>
            <w:bottom w:val="none" w:sz="0" w:space="0"/>
            <w:right w:val="none" w:sz="0" w:space="0"/>
          </w:pgBorders>
          <w:pgNumType w:fmt="numberInDash" w:start="7"/>
          <w:cols w:space="720" w:num="1"/>
          <w:docGrid w:type="lines" w:linePitch="312" w:charSpace="0"/>
        </w:sectPr>
      </w:pPr>
      <w:r>
        <w:rPr>
          <w:rFonts w:hint="default" w:ascii="TimesNewRoman" w:hAnsi="TimesNewRoman" w:cs="TimesNewRoman"/>
          <w:kern w:val="0"/>
          <w:sz w:val="20"/>
        </w:rPr>
        <w:t>备注：本表金额转换成万元保留2位小数时，因四舍五入可能存在尾差。</w:t>
      </w:r>
    </w:p>
    <w:p>
      <w:pPr>
        <w:keepNext w:val="0"/>
        <w:keepLines w:val="0"/>
        <w:pageBreakBefore w:val="0"/>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部门公开表5</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NewRoman" w:hAnsi="TimesNewRoman" w:eastAsia="华文中宋" w:cs="TimesNewRoman"/>
          <w:b/>
          <w:bCs/>
          <w:kern w:val="0"/>
          <w:sz w:val="30"/>
          <w:szCs w:val="30"/>
        </w:rPr>
      </w:pPr>
      <w:r>
        <w:rPr>
          <w:rFonts w:hint="eastAsia" w:ascii="TimesNewRoman" w:hAnsi="TimesNewRoman" w:eastAsia="华文中宋" w:cs="TimesNewRoman"/>
          <w:b/>
          <w:bCs/>
          <w:kern w:val="0"/>
          <w:sz w:val="30"/>
          <w:szCs w:val="30"/>
          <w:lang w:val="en-US" w:eastAsia="zh-CN"/>
        </w:rPr>
        <w:t xml:space="preserve">  </w:t>
      </w:r>
      <w:r>
        <w:rPr>
          <w:rFonts w:hint="eastAsia" w:ascii="TimesNewRoman" w:hAnsi="TimesNewRoman" w:eastAsia="华文中宋" w:cs="TimesNewRoman"/>
          <w:b/>
          <w:bCs/>
          <w:kern w:val="0"/>
          <w:sz w:val="30"/>
          <w:szCs w:val="30"/>
          <w:lang w:eastAsia="zh-CN"/>
        </w:rPr>
        <w:t>中国致公党安庆市委员会</w:t>
      </w:r>
      <w:r>
        <w:rPr>
          <w:rFonts w:hint="default" w:ascii="TimesNewRoman" w:hAnsi="TimesNewRoman" w:eastAsia="华文中宋" w:cs="TimesNewRoman"/>
          <w:b/>
          <w:bCs/>
          <w:kern w:val="0"/>
          <w:sz w:val="30"/>
          <w:szCs w:val="30"/>
        </w:rPr>
        <w:t>202</w:t>
      </w:r>
      <w:r>
        <w:rPr>
          <w:rFonts w:hint="eastAsia" w:ascii="TimesNewRoman" w:hAnsi="TimesNewRoman" w:eastAsia="华文中宋" w:cs="TimesNewRoman"/>
          <w:b/>
          <w:bCs/>
          <w:kern w:val="0"/>
          <w:sz w:val="30"/>
          <w:szCs w:val="30"/>
          <w:lang w:val="en-US" w:eastAsia="zh-CN"/>
        </w:rPr>
        <w:t>3</w:t>
      </w:r>
      <w:r>
        <w:rPr>
          <w:rFonts w:hint="default" w:ascii="TimesNewRoman" w:hAnsi="TimesNewRoman" w:eastAsia="华文中宋" w:cs="TimesNewRoman"/>
          <w:b/>
          <w:bCs/>
          <w:kern w:val="0"/>
          <w:sz w:val="30"/>
          <w:szCs w:val="30"/>
        </w:rPr>
        <w:t>年一般公共预算支出表</w:t>
      </w:r>
    </w:p>
    <w:p>
      <w:pPr>
        <w:keepNext w:val="0"/>
        <w:keepLines w:val="0"/>
        <w:pageBreakBefore w:val="0"/>
        <w:kinsoku/>
        <w:overflowPunct/>
        <w:topLinePunct w:val="0"/>
        <w:autoSpaceDE/>
        <w:autoSpaceDN/>
        <w:bidi w:val="0"/>
        <w:spacing w:line="560" w:lineRule="exact"/>
        <w:ind w:left="7400" w:hanging="7400" w:hangingChars="3700"/>
        <w:rPr>
          <w:rFonts w:hint="default" w:ascii="TimesNewRoman" w:hAnsi="TimesNewRoman" w:cs="TimesNewRoman"/>
          <w:kern w:val="0"/>
          <w:sz w:val="20"/>
        </w:rPr>
      </w:pPr>
      <w:r>
        <w:rPr>
          <w:rFonts w:hint="default" w:ascii="TimesNewRoman" w:hAnsi="TimesNewRoman" w:cs="TimesNewRoman"/>
          <w:kern w:val="0"/>
          <w:sz w:val="20"/>
        </w:rPr>
        <w:t xml:space="preserve">                                                                       单位：万元</w:t>
      </w:r>
    </w:p>
    <w:tbl>
      <w:tblPr>
        <w:tblStyle w:val="4"/>
        <w:tblW w:w="8925" w:type="dxa"/>
        <w:tblInd w:w="0" w:type="dxa"/>
        <w:tblLayout w:type="fixed"/>
        <w:tblCellMar>
          <w:top w:w="0" w:type="dxa"/>
          <w:left w:w="108" w:type="dxa"/>
          <w:bottom w:w="0" w:type="dxa"/>
          <w:right w:w="108" w:type="dxa"/>
        </w:tblCellMar>
      </w:tblPr>
      <w:tblGrid>
        <w:gridCol w:w="1034"/>
        <w:gridCol w:w="2890"/>
        <w:gridCol w:w="840"/>
        <w:gridCol w:w="830"/>
        <w:gridCol w:w="1130"/>
        <w:gridCol w:w="1100"/>
        <w:gridCol w:w="1101"/>
      </w:tblGrid>
      <w:tr>
        <w:tblPrEx>
          <w:tblCellMar>
            <w:top w:w="0" w:type="dxa"/>
            <w:left w:w="108" w:type="dxa"/>
            <w:bottom w:w="0" w:type="dxa"/>
            <w:right w:w="108" w:type="dxa"/>
          </w:tblCellMar>
        </w:tblPrEx>
        <w:trPr>
          <w:trHeight w:val="360" w:hRule="atLeast"/>
        </w:trPr>
        <w:tc>
          <w:tcPr>
            <w:tcW w:w="1034" w:type="dxa"/>
            <w:vMerge w:val="restar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科目</w:t>
            </w:r>
          </w:p>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编码</w:t>
            </w:r>
          </w:p>
        </w:tc>
        <w:tc>
          <w:tcPr>
            <w:tcW w:w="2890" w:type="dxa"/>
            <w:vMerge w:val="restar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科目名称</w:t>
            </w:r>
          </w:p>
        </w:tc>
        <w:tc>
          <w:tcPr>
            <w:tcW w:w="840" w:type="dxa"/>
            <w:vMerge w:val="restart"/>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合计</w:t>
            </w:r>
          </w:p>
        </w:tc>
        <w:tc>
          <w:tcPr>
            <w:tcW w:w="3060"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基本支出</w:t>
            </w:r>
          </w:p>
        </w:tc>
        <w:tc>
          <w:tcPr>
            <w:tcW w:w="1101" w:type="dxa"/>
            <w:vMerge w:val="restar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项目支出</w:t>
            </w:r>
          </w:p>
        </w:tc>
      </w:tr>
      <w:tr>
        <w:tblPrEx>
          <w:tblCellMar>
            <w:top w:w="0" w:type="dxa"/>
            <w:left w:w="108" w:type="dxa"/>
            <w:bottom w:w="0" w:type="dxa"/>
            <w:right w:w="108" w:type="dxa"/>
          </w:tblCellMar>
        </w:tblPrEx>
        <w:trPr>
          <w:trHeight w:val="360" w:hRule="atLeast"/>
        </w:trPr>
        <w:tc>
          <w:tcPr>
            <w:tcW w:w="1034" w:type="dxa"/>
            <w:vMerge w:val="continue"/>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bCs/>
                <w:kern w:val="0"/>
                <w:sz w:val="22"/>
              </w:rPr>
            </w:pPr>
          </w:p>
        </w:tc>
        <w:tc>
          <w:tcPr>
            <w:tcW w:w="2890" w:type="dxa"/>
            <w:vMerge w:val="continue"/>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bCs/>
                <w:kern w:val="0"/>
                <w:sz w:val="22"/>
              </w:rPr>
            </w:pPr>
          </w:p>
        </w:tc>
        <w:tc>
          <w:tcPr>
            <w:tcW w:w="840" w:type="dxa"/>
            <w:vMerge w:val="continue"/>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bCs/>
                <w:kern w:val="0"/>
                <w:sz w:val="22"/>
              </w:rPr>
            </w:pPr>
          </w:p>
        </w:tc>
        <w:tc>
          <w:tcPr>
            <w:tcW w:w="8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小计</w:t>
            </w:r>
          </w:p>
        </w:tc>
        <w:tc>
          <w:tcPr>
            <w:tcW w:w="11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人员经费</w:t>
            </w:r>
          </w:p>
        </w:tc>
        <w:tc>
          <w:tcPr>
            <w:tcW w:w="11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公用经费</w:t>
            </w:r>
          </w:p>
        </w:tc>
        <w:tc>
          <w:tcPr>
            <w:tcW w:w="1101" w:type="dxa"/>
            <w:vMerge w:val="continue"/>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bCs/>
                <w:kern w:val="0"/>
                <w:sz w:val="22"/>
              </w:rPr>
            </w:pPr>
          </w:p>
        </w:tc>
      </w:tr>
      <w:tr>
        <w:tblPrEx>
          <w:tblCellMar>
            <w:top w:w="0" w:type="dxa"/>
            <w:left w:w="108" w:type="dxa"/>
            <w:bottom w:w="0" w:type="dxa"/>
            <w:right w:w="108" w:type="dxa"/>
          </w:tblCellMar>
        </w:tblPrEx>
        <w:trPr>
          <w:trHeight w:val="360" w:hRule="atLeast"/>
        </w:trPr>
        <w:tc>
          <w:tcPr>
            <w:tcW w:w="10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201</w:t>
            </w:r>
          </w:p>
        </w:tc>
        <w:tc>
          <w:tcPr>
            <w:tcW w:w="289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一般公共服务支出</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48.92</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31.02</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21.92</w:t>
            </w:r>
          </w:p>
        </w:tc>
        <w:tc>
          <w:tcPr>
            <w:tcW w:w="110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9.10</w:t>
            </w:r>
          </w:p>
        </w:tc>
        <w:tc>
          <w:tcPr>
            <w:tcW w:w="110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17.90</w:t>
            </w: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20128</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民主党派及工商联事务</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48.92</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31.02</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21.92</w:t>
            </w:r>
          </w:p>
        </w:tc>
        <w:tc>
          <w:tcPr>
            <w:tcW w:w="110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9.10</w:t>
            </w:r>
          </w:p>
        </w:tc>
        <w:tc>
          <w:tcPr>
            <w:tcW w:w="1101"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17.90</w:t>
            </w: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2012899</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其他民主党派及工商联事务支出</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83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3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5.00</w:t>
            </w: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2012804</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参政议政</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7.90</w:t>
            </w:r>
          </w:p>
        </w:tc>
        <w:tc>
          <w:tcPr>
            <w:tcW w:w="83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3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7.90</w:t>
            </w: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2012802</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一般行政管理事务</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83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3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5.00</w:t>
            </w: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2012801</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行政运行</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31.02</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31.02</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21.92</w:t>
            </w:r>
          </w:p>
        </w:tc>
        <w:tc>
          <w:tcPr>
            <w:tcW w:w="110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9.10</w:t>
            </w:r>
          </w:p>
        </w:tc>
        <w:tc>
          <w:tcPr>
            <w:tcW w:w="1101"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208</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社会保障和就业支出</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5.10</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5.10</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5.10</w:t>
            </w: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20805</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行政事业单位养老支出</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5.10</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5.10</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5.10</w:t>
            </w: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2080506</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机关事业单位职业年金缴费支出</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2080505</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机关事业单位基本养老保险缴费支出</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3.40</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3.40</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3.40</w:t>
            </w: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210</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卫生健康支出</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21011</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行政事业单位医疗</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2101103</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公务员医疗补助</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0.43</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0.43</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0.43</w:t>
            </w: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2101101</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行政单位医疗</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221</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住房保障支出</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22102</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住房改革支出</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360" w:hRule="atLeast"/>
        </w:trPr>
        <w:tc>
          <w:tcPr>
            <w:tcW w:w="1034"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2210201</w:t>
            </w:r>
          </w:p>
        </w:tc>
        <w:tc>
          <w:tcPr>
            <w:tcW w:w="2890"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880" w:firstLineChars="4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住房公积金</w:t>
            </w:r>
          </w:p>
        </w:tc>
        <w:tc>
          <w:tcPr>
            <w:tcW w:w="84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8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113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110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101"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360" w:hRule="atLeast"/>
        </w:trPr>
        <w:tc>
          <w:tcPr>
            <w:tcW w:w="3924" w:type="dxa"/>
            <w:gridSpan w:val="2"/>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eastAsia" w:ascii="TimesNewRoman" w:hAnsi="TimesNewRoman" w:cs="TimesNewRoman"/>
                <w:b/>
                <w:bCs/>
                <w:kern w:val="0"/>
                <w:sz w:val="22"/>
                <w:lang w:eastAsia="zh-CN"/>
              </w:rPr>
              <w:t>合</w:t>
            </w:r>
            <w:r>
              <w:rPr>
                <w:rFonts w:hint="default" w:ascii="TimesNewRoman" w:hAnsi="TimesNewRoman" w:cs="TimesNewRoman"/>
                <w:b/>
                <w:bCs/>
                <w:kern w:val="0"/>
                <w:sz w:val="22"/>
              </w:rPr>
              <w:t xml:space="preserve"> 计</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b/>
                <w:bCs/>
                <w:kern w:val="0"/>
                <w:sz w:val="22"/>
              </w:rPr>
            </w:pPr>
            <w:r>
              <w:rPr>
                <w:rFonts w:hint="eastAsia" w:ascii="TimesNewRoman" w:hAnsi="TimesNewRoman" w:cs="TimesNewRoman"/>
                <w:b/>
                <w:bCs/>
                <w:kern w:val="0"/>
                <w:sz w:val="22"/>
                <w:lang w:val="en-US" w:eastAsia="zh-CN"/>
              </w:rPr>
              <w:t>58.42</w:t>
            </w:r>
            <w:r>
              <w:rPr>
                <w:rFonts w:hint="default" w:ascii="TimesNewRoman" w:hAnsi="TimesNewRoman" w:cs="TimesNewRoman"/>
                <w:b/>
                <w:bCs/>
                <w:kern w:val="0"/>
                <w:sz w:val="22"/>
              </w:rPr>
              <w:t>　</w:t>
            </w:r>
          </w:p>
        </w:tc>
        <w:tc>
          <w:tcPr>
            <w:tcW w:w="8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b/>
                <w:bCs/>
                <w:kern w:val="0"/>
                <w:sz w:val="22"/>
              </w:rPr>
            </w:pPr>
            <w:r>
              <w:rPr>
                <w:rFonts w:hint="eastAsia" w:ascii="TimesNewRoman" w:hAnsi="TimesNewRoman" w:cs="TimesNewRoman"/>
                <w:b/>
                <w:bCs/>
                <w:kern w:val="0"/>
                <w:sz w:val="22"/>
                <w:lang w:val="en-US" w:eastAsia="zh-CN"/>
              </w:rPr>
              <w:t>40.52</w:t>
            </w:r>
            <w:r>
              <w:rPr>
                <w:rFonts w:hint="default" w:ascii="TimesNewRoman" w:hAnsi="TimesNewRoman" w:cs="TimesNewRoman"/>
                <w:b/>
                <w:bCs/>
                <w:kern w:val="0"/>
                <w:sz w:val="22"/>
              </w:rPr>
              <w:t>　</w:t>
            </w:r>
          </w:p>
        </w:tc>
        <w:tc>
          <w:tcPr>
            <w:tcW w:w="11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b/>
                <w:bCs/>
                <w:kern w:val="0"/>
                <w:sz w:val="22"/>
              </w:rPr>
            </w:pPr>
            <w:r>
              <w:rPr>
                <w:rFonts w:hint="eastAsia" w:ascii="TimesNewRoman" w:hAnsi="TimesNewRoman" w:cs="TimesNewRoman"/>
                <w:b/>
                <w:bCs/>
                <w:kern w:val="0"/>
                <w:sz w:val="22"/>
                <w:lang w:val="en-US" w:eastAsia="zh-CN"/>
              </w:rPr>
              <w:t>31.42</w:t>
            </w:r>
            <w:r>
              <w:rPr>
                <w:rFonts w:hint="default" w:ascii="TimesNewRoman" w:hAnsi="TimesNewRoman" w:cs="TimesNewRoman"/>
                <w:b/>
                <w:bCs/>
                <w:kern w:val="0"/>
                <w:sz w:val="22"/>
              </w:rPr>
              <w:t>　</w:t>
            </w:r>
          </w:p>
        </w:tc>
        <w:tc>
          <w:tcPr>
            <w:tcW w:w="11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b/>
                <w:bCs/>
                <w:kern w:val="0"/>
                <w:sz w:val="22"/>
              </w:rPr>
            </w:pPr>
            <w:r>
              <w:rPr>
                <w:rFonts w:hint="eastAsia" w:ascii="TimesNewRoman" w:hAnsi="TimesNewRoman" w:cs="TimesNewRoman"/>
                <w:b/>
                <w:bCs/>
                <w:kern w:val="0"/>
                <w:sz w:val="22"/>
                <w:lang w:val="en-US" w:eastAsia="zh-CN"/>
              </w:rPr>
              <w:t>9.10</w:t>
            </w:r>
            <w:r>
              <w:rPr>
                <w:rFonts w:hint="default" w:ascii="TimesNewRoman" w:hAnsi="TimesNewRoman" w:cs="TimesNewRoman"/>
                <w:b/>
                <w:bCs/>
                <w:kern w:val="0"/>
                <w:sz w:val="22"/>
              </w:rPr>
              <w:t>　</w:t>
            </w:r>
          </w:p>
        </w:tc>
        <w:tc>
          <w:tcPr>
            <w:tcW w:w="1101"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b/>
                <w:bCs/>
                <w:kern w:val="0"/>
                <w:sz w:val="22"/>
              </w:rPr>
            </w:pPr>
            <w:r>
              <w:rPr>
                <w:rFonts w:hint="eastAsia" w:ascii="TimesNewRoman" w:hAnsi="TimesNewRoman" w:cs="TimesNewRoman"/>
                <w:b/>
                <w:bCs/>
                <w:kern w:val="0"/>
                <w:sz w:val="22"/>
                <w:lang w:val="en-US" w:eastAsia="zh-CN"/>
              </w:rPr>
              <w:t>17.90</w:t>
            </w:r>
            <w:r>
              <w:rPr>
                <w:rFonts w:hint="default" w:ascii="TimesNewRoman" w:hAnsi="TimesNewRoman" w:cs="TimesNewRoman"/>
                <w:b/>
                <w:bCs/>
                <w:kern w:val="0"/>
                <w:sz w:val="22"/>
              </w:rPr>
              <w:t>　</w:t>
            </w:r>
          </w:p>
        </w:tc>
      </w:tr>
    </w:tbl>
    <w:p>
      <w:pPr>
        <w:keepNext w:val="0"/>
        <w:keepLines w:val="0"/>
        <w:pageBreakBefore w:val="0"/>
        <w:kinsoku/>
        <w:overflowPunct/>
        <w:topLinePunct w:val="0"/>
        <w:autoSpaceDE/>
        <w:autoSpaceDN/>
        <w:bidi w:val="0"/>
        <w:spacing w:line="560" w:lineRule="exact"/>
        <w:ind w:left="7400" w:hanging="7400" w:hangingChars="3700"/>
        <w:rPr>
          <w:rFonts w:hint="default" w:ascii="TimesNewRoman" w:hAnsi="TimesNewRoman" w:cs="TimesNewRoman"/>
          <w:kern w:val="0"/>
          <w:sz w:val="20"/>
        </w:rPr>
      </w:pPr>
      <w:r>
        <w:rPr>
          <w:rFonts w:hint="default" w:ascii="TimesNewRoman" w:hAnsi="TimesNewRoman" w:cs="TimesNewRoman"/>
          <w:kern w:val="0"/>
          <w:sz w:val="20"/>
        </w:rPr>
        <w:t>备注：本表金额转换成万元保留2位小数时，因四舍五入可能存在尾差。</w:t>
      </w:r>
    </w:p>
    <w:p>
      <w:pPr>
        <w:keepNext w:val="0"/>
        <w:keepLines w:val="0"/>
        <w:pageBreakBefore w:val="0"/>
        <w:kinsoku/>
        <w:overflowPunct/>
        <w:topLinePunct w:val="0"/>
        <w:autoSpaceDE/>
        <w:autoSpaceDN/>
        <w:bidi w:val="0"/>
        <w:spacing w:line="560" w:lineRule="exact"/>
        <w:ind w:left="7400" w:hanging="7400" w:hangingChars="3700"/>
        <w:rPr>
          <w:rFonts w:hint="default" w:ascii="TimesNewRoman" w:hAnsi="TimesNewRoman" w:cs="TimesNewRoman"/>
          <w:kern w:val="0"/>
          <w:sz w:val="20"/>
        </w:rPr>
      </w:pPr>
    </w:p>
    <w:p>
      <w:pPr>
        <w:keepNext w:val="0"/>
        <w:keepLines w:val="0"/>
        <w:pageBreakBefore w:val="0"/>
        <w:kinsoku/>
        <w:overflowPunct/>
        <w:topLinePunct w:val="0"/>
        <w:autoSpaceDE/>
        <w:autoSpaceDN/>
        <w:bidi w:val="0"/>
        <w:spacing w:line="560" w:lineRule="exact"/>
        <w:ind w:left="7400" w:hanging="7400" w:hangingChars="3700"/>
        <w:rPr>
          <w:rFonts w:hint="default" w:ascii="TimesNewRoman" w:hAnsi="TimesNewRoman" w:cs="TimesNewRoman"/>
          <w:kern w:val="0"/>
          <w:sz w:val="20"/>
        </w:rPr>
      </w:pPr>
    </w:p>
    <w:p>
      <w:pPr>
        <w:keepNext w:val="0"/>
        <w:keepLines w:val="0"/>
        <w:pageBreakBefore w:val="0"/>
        <w:kinsoku/>
        <w:overflowPunct/>
        <w:topLinePunct w:val="0"/>
        <w:autoSpaceDE/>
        <w:autoSpaceDN/>
        <w:bidi w:val="0"/>
        <w:spacing w:line="560" w:lineRule="exact"/>
        <w:ind w:left="7400" w:hanging="7400" w:hangingChars="3700"/>
        <w:rPr>
          <w:rFonts w:hint="default" w:ascii="TimesNewRoman" w:hAnsi="TimesNewRoman" w:cs="TimesNewRoman"/>
          <w:kern w:val="0"/>
          <w:sz w:val="20"/>
        </w:rPr>
      </w:pPr>
    </w:p>
    <w:p>
      <w:pPr>
        <w:keepNext w:val="0"/>
        <w:keepLines w:val="0"/>
        <w:pageBreakBefore w:val="0"/>
        <w:kinsoku/>
        <w:overflowPunct/>
        <w:topLinePunct w:val="0"/>
        <w:autoSpaceDE/>
        <w:autoSpaceDN/>
        <w:bidi w:val="0"/>
        <w:spacing w:line="560" w:lineRule="exact"/>
        <w:ind w:left="7400" w:hanging="7400" w:hangingChars="3700"/>
        <w:rPr>
          <w:rFonts w:hint="default" w:ascii="TimesNewRoman" w:hAnsi="TimesNewRoman" w:cs="TimesNewRoman"/>
          <w:kern w:val="0"/>
          <w:sz w:val="20"/>
        </w:rPr>
      </w:pPr>
    </w:p>
    <w:p>
      <w:pPr>
        <w:keepNext w:val="0"/>
        <w:keepLines w:val="0"/>
        <w:pageBreakBefore w:val="0"/>
        <w:kinsoku/>
        <w:overflowPunct/>
        <w:topLinePunct w:val="0"/>
        <w:autoSpaceDE/>
        <w:autoSpaceDN/>
        <w:bidi w:val="0"/>
        <w:spacing w:line="560" w:lineRule="exact"/>
        <w:ind w:left="1376" w:leftChars="430"/>
        <w:jc w:val="right"/>
        <w:rPr>
          <w:rFonts w:hint="default" w:ascii="TimesNewRoman" w:hAnsi="TimesNewRoman" w:cs="TimesNewRoman"/>
          <w:kern w:val="0"/>
          <w:sz w:val="20"/>
        </w:rPr>
      </w:pPr>
    </w:p>
    <w:p>
      <w:pPr>
        <w:keepNext w:val="0"/>
        <w:keepLines w:val="0"/>
        <w:pageBreakBefore w:val="0"/>
        <w:kinsoku/>
        <w:overflowPunct/>
        <w:topLinePunct w:val="0"/>
        <w:autoSpaceDE/>
        <w:autoSpaceDN/>
        <w:bidi w:val="0"/>
        <w:spacing w:line="560" w:lineRule="exact"/>
        <w:ind w:left="1376" w:leftChars="430"/>
        <w:jc w:val="right"/>
        <w:rPr>
          <w:rFonts w:hint="default" w:ascii="TimesNewRoman" w:hAnsi="TimesNewRoman" w:cs="TimesNewRoman"/>
          <w:kern w:val="0"/>
          <w:sz w:val="20"/>
        </w:rPr>
      </w:pPr>
      <w:r>
        <w:rPr>
          <w:rFonts w:hint="default" w:ascii="TimesNewRoman" w:hAnsi="TimesNewRoman" w:cs="TimesNewRoman"/>
          <w:kern w:val="0"/>
          <w:sz w:val="20"/>
        </w:rPr>
        <w:t>部门公开表6</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NewRoman" w:hAnsi="TimesNewRoman" w:eastAsia="华文中宋" w:cs="TimesNewRoman"/>
          <w:b/>
          <w:bCs/>
          <w:kern w:val="0"/>
          <w:sz w:val="28"/>
          <w:szCs w:val="28"/>
        </w:rPr>
      </w:pPr>
      <w:r>
        <w:rPr>
          <w:rFonts w:hint="eastAsia" w:ascii="TimesNewRoman" w:hAnsi="TimesNewRoman" w:eastAsia="华文中宋" w:cs="TimesNewRoman"/>
          <w:b/>
          <w:bCs/>
          <w:kern w:val="0"/>
          <w:sz w:val="28"/>
          <w:szCs w:val="28"/>
          <w:lang w:eastAsia="zh-CN"/>
        </w:rPr>
        <w:t xml:space="preserve">中国致公党安庆市委员会 </w:t>
      </w:r>
      <w:r>
        <w:rPr>
          <w:rFonts w:hint="default" w:ascii="TimesNewRoman" w:hAnsi="TimesNewRoman" w:eastAsia="华文中宋" w:cs="TimesNewRoman"/>
          <w:b/>
          <w:bCs/>
          <w:kern w:val="0"/>
          <w:sz w:val="28"/>
          <w:szCs w:val="28"/>
        </w:rPr>
        <w:t>202</w:t>
      </w:r>
      <w:r>
        <w:rPr>
          <w:rFonts w:hint="eastAsia" w:ascii="TimesNewRoman" w:hAnsi="TimesNewRoman" w:eastAsia="华文中宋" w:cs="TimesNewRoman"/>
          <w:b/>
          <w:bCs/>
          <w:kern w:val="0"/>
          <w:sz w:val="28"/>
          <w:szCs w:val="28"/>
          <w:lang w:val="en-US" w:eastAsia="zh-CN"/>
        </w:rPr>
        <w:t>3</w:t>
      </w:r>
      <w:r>
        <w:rPr>
          <w:rFonts w:hint="default" w:ascii="TimesNewRoman" w:hAnsi="TimesNewRoman" w:eastAsia="华文中宋" w:cs="TimesNewRoman"/>
          <w:b/>
          <w:bCs/>
          <w:kern w:val="0"/>
          <w:sz w:val="28"/>
          <w:szCs w:val="28"/>
        </w:rPr>
        <w:t>年一般公共预算基本支出表</w:t>
      </w:r>
    </w:p>
    <w:p>
      <w:pPr>
        <w:keepNext w:val="0"/>
        <w:keepLines w:val="0"/>
        <w:pageBreakBefore w:val="0"/>
        <w:kinsoku/>
        <w:overflowPunct/>
        <w:topLinePunct w:val="0"/>
        <w:autoSpaceDE/>
        <w:autoSpaceDN/>
        <w:bidi w:val="0"/>
        <w:spacing w:line="560" w:lineRule="exact"/>
        <w:ind w:left="7400" w:hanging="7400" w:hangingChars="3700"/>
        <w:rPr>
          <w:rFonts w:hint="default" w:ascii="TimesNewRoman" w:hAnsi="TimesNewRoman" w:cs="TimesNewRoman"/>
          <w:kern w:val="0"/>
          <w:sz w:val="20"/>
        </w:rPr>
      </w:pPr>
      <w:r>
        <w:rPr>
          <w:rFonts w:hint="default" w:ascii="TimesNewRoman" w:hAnsi="TimesNewRoman" w:cs="TimesNewRoman"/>
          <w:kern w:val="0"/>
          <w:sz w:val="20"/>
        </w:rPr>
        <w:t xml:space="preserve">                                                                       单位：万元</w:t>
      </w:r>
    </w:p>
    <w:tbl>
      <w:tblPr>
        <w:tblStyle w:val="4"/>
        <w:tblW w:w="8465" w:type="dxa"/>
        <w:tblInd w:w="0" w:type="dxa"/>
        <w:tblLayout w:type="fixed"/>
        <w:tblCellMar>
          <w:top w:w="0" w:type="dxa"/>
          <w:left w:w="108" w:type="dxa"/>
          <w:bottom w:w="0" w:type="dxa"/>
          <w:right w:w="108" w:type="dxa"/>
        </w:tblCellMar>
      </w:tblPr>
      <w:tblGrid>
        <w:gridCol w:w="1771"/>
        <w:gridCol w:w="2629"/>
        <w:gridCol w:w="925"/>
        <w:gridCol w:w="1590"/>
        <w:gridCol w:w="1550"/>
      </w:tblGrid>
      <w:tr>
        <w:tblPrEx>
          <w:tblCellMar>
            <w:top w:w="0" w:type="dxa"/>
            <w:left w:w="108" w:type="dxa"/>
            <w:bottom w:w="0" w:type="dxa"/>
            <w:right w:w="108" w:type="dxa"/>
          </w:tblCellMar>
        </w:tblPrEx>
        <w:trPr>
          <w:trHeight w:val="402" w:hRule="atLeast"/>
        </w:trPr>
        <w:tc>
          <w:tcPr>
            <w:tcW w:w="44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部门预算支出经济分类科目</w:t>
            </w:r>
          </w:p>
        </w:tc>
        <w:tc>
          <w:tcPr>
            <w:tcW w:w="4065"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本年一般公共预算基本支出</w:t>
            </w: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科目编码</w:t>
            </w:r>
          </w:p>
        </w:tc>
        <w:tc>
          <w:tcPr>
            <w:tcW w:w="2629"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科目名称</w:t>
            </w:r>
          </w:p>
        </w:tc>
        <w:tc>
          <w:tcPr>
            <w:tcW w:w="925"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合计</w:t>
            </w:r>
          </w:p>
        </w:tc>
        <w:tc>
          <w:tcPr>
            <w:tcW w:w="15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人员经费</w:t>
            </w:r>
          </w:p>
        </w:tc>
        <w:tc>
          <w:tcPr>
            <w:tcW w:w="155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公用经费</w:t>
            </w: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工资福利支出</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30.91</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30.91</w:t>
            </w:r>
          </w:p>
        </w:tc>
        <w:tc>
          <w:tcPr>
            <w:tcW w:w="155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30101</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基本工资</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8.72</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8.72</w:t>
            </w:r>
          </w:p>
        </w:tc>
        <w:tc>
          <w:tcPr>
            <w:tcW w:w="155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30102</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津贴补贴</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11.83</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11.83</w:t>
            </w:r>
          </w:p>
        </w:tc>
        <w:tc>
          <w:tcPr>
            <w:tcW w:w="155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30103</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奖金</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0.73</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0.73</w:t>
            </w:r>
          </w:p>
        </w:tc>
        <w:tc>
          <w:tcPr>
            <w:tcW w:w="155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30108</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机关事业单位基本养老保险缴费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3.40</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3.40</w:t>
            </w:r>
          </w:p>
        </w:tc>
        <w:tc>
          <w:tcPr>
            <w:tcW w:w="155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30109</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职业年金缴费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155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30110</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职工基本医疗保险缴费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155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30111</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公务员医疗补助缴费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0.43</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0.43</w:t>
            </w:r>
          </w:p>
        </w:tc>
        <w:tc>
          <w:tcPr>
            <w:tcW w:w="155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30112</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其他社会保障缴费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0.14</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0.14</w:t>
            </w:r>
          </w:p>
        </w:tc>
        <w:tc>
          <w:tcPr>
            <w:tcW w:w="155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30113</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住房公积金</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155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商品和服务支出</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9.61</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0.51</w:t>
            </w:r>
          </w:p>
        </w:tc>
        <w:tc>
          <w:tcPr>
            <w:tcW w:w="155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9.10</w:t>
            </w: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30201</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办公费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0.10</w:t>
            </w:r>
          </w:p>
        </w:tc>
        <w:tc>
          <w:tcPr>
            <w:tcW w:w="159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55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0.10</w:t>
            </w: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30207</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邮电费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0.05</w:t>
            </w:r>
          </w:p>
        </w:tc>
        <w:tc>
          <w:tcPr>
            <w:tcW w:w="159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55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0.05</w:t>
            </w: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30211</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差旅费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0.10</w:t>
            </w:r>
          </w:p>
        </w:tc>
        <w:tc>
          <w:tcPr>
            <w:tcW w:w="159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55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0.10</w:t>
            </w: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30213</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维修（护）费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3.00</w:t>
            </w:r>
          </w:p>
        </w:tc>
        <w:tc>
          <w:tcPr>
            <w:tcW w:w="159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55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3.00</w:t>
            </w: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30215</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会议费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59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55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2.00</w:t>
            </w: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30217</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公务接待费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0.15</w:t>
            </w:r>
          </w:p>
        </w:tc>
        <w:tc>
          <w:tcPr>
            <w:tcW w:w="159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55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0.15</w:t>
            </w: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30226</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劳务费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59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55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2.00</w:t>
            </w: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30228</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工会经费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0.29</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0.29</w:t>
            </w:r>
          </w:p>
        </w:tc>
        <w:tc>
          <w:tcPr>
            <w:tcW w:w="155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30229</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福利费</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0.22</w:t>
            </w:r>
          </w:p>
        </w:tc>
        <w:tc>
          <w:tcPr>
            <w:tcW w:w="159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0.22</w:t>
            </w:r>
          </w:p>
        </w:tc>
        <w:tc>
          <w:tcPr>
            <w:tcW w:w="155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30239</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其他交通费用</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1.50</w:t>
            </w:r>
          </w:p>
        </w:tc>
        <w:tc>
          <w:tcPr>
            <w:tcW w:w="159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55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1.50</w:t>
            </w:r>
          </w:p>
        </w:tc>
      </w:tr>
      <w:tr>
        <w:tblPrEx>
          <w:tblCellMar>
            <w:top w:w="0" w:type="dxa"/>
            <w:left w:w="108" w:type="dxa"/>
            <w:bottom w:w="0" w:type="dxa"/>
            <w:right w:w="108" w:type="dxa"/>
          </w:tblCellMar>
        </w:tblPrEx>
        <w:trPr>
          <w:trHeight w:val="402" w:hRule="atLeast"/>
        </w:trPr>
        <w:tc>
          <w:tcPr>
            <w:tcW w:w="17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30299</w:t>
            </w:r>
          </w:p>
        </w:tc>
        <w:tc>
          <w:tcPr>
            <w:tcW w:w="2629" w:type="dxa"/>
            <w:tcBorders>
              <w:top w:val="nil"/>
              <w:left w:val="nil"/>
              <w:bottom w:val="single" w:color="auto" w:sz="4" w:space="0"/>
              <w:right w:val="single" w:color="auto" w:sz="4" w:space="0"/>
            </w:tcBorders>
            <w:noWrap w:val="0"/>
            <w:vAlign w:val="center"/>
          </w:tcPr>
          <w:p>
            <w:pPr>
              <w:keepNext w:val="0"/>
              <w:keepLines w:val="0"/>
              <w:widowControl/>
              <w:suppressLineNumbers w:val="0"/>
              <w:ind w:firstLine="440" w:firstLineChars="200"/>
              <w:jc w:val="left"/>
              <w:textAlignment w:val="center"/>
              <w:rPr>
                <w:rFonts w:hint="default" w:ascii="Times New Roman" w:hAnsi="Times New Roman" w:eastAsia="仿宋_GB2312" w:cs="Times New Roman"/>
                <w:kern w:val="0"/>
                <w:sz w:val="22"/>
                <w:szCs w:val="22"/>
                <w:lang w:val="en-US" w:eastAsia="zh-CN"/>
              </w:rPr>
            </w:pPr>
            <w:r>
              <w:rPr>
                <w:rFonts w:hint="default" w:ascii="Times New Roman" w:hAnsi="Times New Roman" w:eastAsia="仿宋_GB2312" w:cs="Times New Roman"/>
                <w:kern w:val="0"/>
                <w:sz w:val="22"/>
                <w:szCs w:val="22"/>
                <w:lang w:val="en-US" w:eastAsia="zh-CN"/>
              </w:rPr>
              <w:t>其他商品和服务支出</w:t>
            </w:r>
          </w:p>
        </w:tc>
        <w:tc>
          <w:tcPr>
            <w:tcW w:w="92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0.20</w:t>
            </w:r>
          </w:p>
        </w:tc>
        <w:tc>
          <w:tcPr>
            <w:tcW w:w="1590" w:type="dxa"/>
            <w:tcBorders>
              <w:top w:val="nil"/>
              <w:left w:val="nil"/>
              <w:bottom w:val="single" w:color="auto" w:sz="4" w:space="0"/>
              <w:right w:val="single" w:color="auto" w:sz="4" w:space="0"/>
            </w:tcBorders>
            <w:noWrap w:val="0"/>
            <w:vAlign w:val="center"/>
          </w:tcPr>
          <w:p>
            <w:pPr>
              <w:jc w:val="right"/>
              <w:rPr>
                <w:rFonts w:hint="default" w:ascii="Times New Roman" w:hAnsi="Times New Roman" w:cs="Times New Roman"/>
                <w:kern w:val="0"/>
                <w:sz w:val="22"/>
                <w:szCs w:val="22"/>
              </w:rPr>
            </w:pPr>
          </w:p>
        </w:tc>
        <w:tc>
          <w:tcPr>
            <w:tcW w:w="1550"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cs="Times New Roman"/>
                <w:kern w:val="0"/>
                <w:sz w:val="22"/>
                <w:szCs w:val="22"/>
              </w:rPr>
            </w:pPr>
            <w:r>
              <w:rPr>
                <w:rFonts w:hint="default" w:ascii="Times New Roman" w:hAnsi="Times New Roman" w:eastAsia="宋体" w:cs="Times New Roman"/>
                <w:i w:val="0"/>
                <w:iCs w:val="0"/>
                <w:color w:val="000000"/>
                <w:kern w:val="0"/>
                <w:sz w:val="22"/>
                <w:szCs w:val="22"/>
                <w:u w:val="none"/>
                <w:lang w:val="en-US" w:eastAsia="zh-CN" w:bidi="ar"/>
              </w:rPr>
              <w:t>0.20</w:t>
            </w:r>
          </w:p>
        </w:tc>
      </w:tr>
      <w:tr>
        <w:tblPrEx>
          <w:tblCellMar>
            <w:top w:w="0" w:type="dxa"/>
            <w:left w:w="108" w:type="dxa"/>
            <w:bottom w:w="0" w:type="dxa"/>
            <w:right w:w="108" w:type="dxa"/>
          </w:tblCellMar>
        </w:tblPrEx>
        <w:trPr>
          <w:trHeight w:val="402" w:hRule="atLeast"/>
        </w:trPr>
        <w:tc>
          <w:tcPr>
            <w:tcW w:w="4400" w:type="dxa"/>
            <w:gridSpan w:val="2"/>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eastAsia" w:ascii="TimesNewRoman" w:hAnsi="TimesNewRoman" w:cs="TimesNewRoman"/>
                <w:b/>
                <w:bCs/>
                <w:kern w:val="0"/>
                <w:sz w:val="22"/>
                <w:lang w:eastAsia="zh-CN"/>
              </w:rPr>
              <w:t>合</w:t>
            </w:r>
            <w:r>
              <w:rPr>
                <w:rFonts w:hint="default" w:ascii="TimesNewRoman" w:hAnsi="TimesNewRoman" w:cs="TimesNewRoman"/>
                <w:b/>
                <w:bCs/>
                <w:kern w:val="0"/>
                <w:sz w:val="22"/>
              </w:rPr>
              <w:t xml:space="preserve"> 计</w:t>
            </w:r>
          </w:p>
        </w:tc>
        <w:tc>
          <w:tcPr>
            <w:tcW w:w="925"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eastAsia="仿宋_GB2312" w:cs="TimesNewRoman"/>
                <w:b/>
                <w:bCs/>
                <w:kern w:val="0"/>
                <w:sz w:val="22"/>
                <w:lang w:val="en-US" w:eastAsia="zh-CN"/>
              </w:rPr>
            </w:pPr>
            <w:r>
              <w:rPr>
                <w:rFonts w:hint="eastAsia" w:ascii="TimesNewRoman" w:hAnsi="TimesNewRoman" w:cs="TimesNewRoman"/>
                <w:b/>
                <w:bCs/>
                <w:kern w:val="0"/>
                <w:sz w:val="22"/>
                <w:lang w:val="en-US" w:eastAsia="zh-CN"/>
              </w:rPr>
              <w:t>40.52</w:t>
            </w:r>
            <w:r>
              <w:rPr>
                <w:rFonts w:hint="default" w:ascii="TimesNewRoman" w:hAnsi="TimesNewRoman" w:cs="TimesNewRoman"/>
                <w:b/>
                <w:bCs/>
                <w:kern w:val="0"/>
                <w:sz w:val="22"/>
              </w:rPr>
              <w:t>　</w:t>
            </w:r>
          </w:p>
        </w:tc>
        <w:tc>
          <w:tcPr>
            <w:tcW w:w="15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b/>
                <w:bCs/>
                <w:kern w:val="0"/>
                <w:sz w:val="22"/>
              </w:rPr>
            </w:pPr>
            <w:r>
              <w:rPr>
                <w:rFonts w:hint="eastAsia" w:ascii="TimesNewRoman" w:hAnsi="TimesNewRoman" w:cs="TimesNewRoman"/>
                <w:b/>
                <w:bCs/>
                <w:kern w:val="0"/>
                <w:sz w:val="22"/>
                <w:lang w:val="en-US" w:eastAsia="zh-CN"/>
              </w:rPr>
              <w:t>31.42</w:t>
            </w:r>
            <w:r>
              <w:rPr>
                <w:rFonts w:hint="default" w:ascii="TimesNewRoman" w:hAnsi="TimesNewRoman" w:cs="TimesNewRoman"/>
                <w:b/>
                <w:bCs/>
                <w:kern w:val="0"/>
                <w:sz w:val="22"/>
              </w:rPr>
              <w:t>　</w:t>
            </w:r>
          </w:p>
        </w:tc>
        <w:tc>
          <w:tcPr>
            <w:tcW w:w="155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eastAsia="仿宋_GB2312" w:cs="TimesNewRoman"/>
                <w:b/>
                <w:bCs/>
                <w:kern w:val="0"/>
                <w:sz w:val="22"/>
                <w:lang w:val="en-US" w:eastAsia="zh-CN"/>
              </w:rPr>
            </w:pPr>
            <w:r>
              <w:rPr>
                <w:rFonts w:hint="default" w:ascii="TimesNewRoman" w:hAnsi="TimesNewRoman" w:cs="TimesNewRoman"/>
                <w:b/>
                <w:bCs/>
                <w:kern w:val="0"/>
                <w:sz w:val="22"/>
              </w:rPr>
              <w:t>　</w:t>
            </w:r>
            <w:r>
              <w:rPr>
                <w:rFonts w:hint="eastAsia" w:ascii="TimesNewRoman" w:hAnsi="TimesNewRoman" w:cs="TimesNewRoman"/>
                <w:b/>
                <w:bCs/>
                <w:kern w:val="0"/>
                <w:sz w:val="22"/>
                <w:lang w:val="en-US" w:eastAsia="zh-CN"/>
              </w:rPr>
              <w:t>9.10</w:t>
            </w:r>
          </w:p>
        </w:tc>
      </w:tr>
    </w:tbl>
    <w:p>
      <w:pPr>
        <w:keepNext w:val="0"/>
        <w:keepLines w:val="0"/>
        <w:pageBreakBefore w:val="0"/>
        <w:kinsoku/>
        <w:overflowPunct/>
        <w:topLinePunct w:val="0"/>
        <w:autoSpaceDE/>
        <w:autoSpaceDN/>
        <w:bidi w:val="0"/>
        <w:spacing w:line="560" w:lineRule="exact"/>
        <w:rPr>
          <w:rFonts w:hint="eastAsia" w:ascii="TimesNewRoman" w:hAnsi="TimesNewRoman" w:cs="TimesNewRoman"/>
          <w:kern w:val="0"/>
          <w:sz w:val="20"/>
          <w:lang w:val="en-US" w:eastAsia="zh-CN"/>
        </w:rPr>
      </w:pPr>
      <w:r>
        <w:rPr>
          <w:rFonts w:hint="default" w:ascii="TimesNewRoman" w:hAnsi="TimesNewRoman" w:cs="TimesNewRoman"/>
          <w:kern w:val="0"/>
          <w:sz w:val="20"/>
        </w:rPr>
        <w:t xml:space="preserve">备注：本表金额转换成万元保留2位小数时，因四舍五入可能存在尾差。                                                        </w:t>
      </w:r>
      <w:r>
        <w:rPr>
          <w:rFonts w:hint="eastAsia" w:ascii="TimesNewRoman" w:hAnsi="TimesNewRoman" w:cs="TimesNewRoman"/>
          <w:kern w:val="0"/>
          <w:sz w:val="20"/>
          <w:lang w:val="en-US" w:eastAsia="zh-CN"/>
        </w:rPr>
        <w:t xml:space="preserve">    </w:t>
      </w:r>
    </w:p>
    <w:p>
      <w:pPr>
        <w:keepNext w:val="0"/>
        <w:keepLines w:val="0"/>
        <w:pageBreakBefore w:val="0"/>
        <w:kinsoku/>
        <w:overflowPunct/>
        <w:topLinePunct w:val="0"/>
        <w:autoSpaceDE/>
        <w:autoSpaceDN/>
        <w:bidi w:val="0"/>
        <w:spacing w:line="560" w:lineRule="exact"/>
        <w:jc w:val="right"/>
        <w:rPr>
          <w:rFonts w:hint="default" w:ascii="TimesNewRoman" w:hAnsi="TimesNewRoman" w:cs="TimesNewRoman"/>
          <w:kern w:val="0"/>
          <w:sz w:val="20"/>
        </w:rPr>
      </w:pPr>
      <w:r>
        <w:rPr>
          <w:rFonts w:hint="eastAsia" w:ascii="TimesNewRoman" w:hAnsi="TimesNewRoman" w:cs="TimesNewRoman"/>
          <w:kern w:val="0"/>
          <w:sz w:val="20"/>
          <w:lang w:val="en-US" w:eastAsia="zh-CN"/>
        </w:rPr>
        <w:t xml:space="preserve"> </w:t>
      </w:r>
      <w:r>
        <w:rPr>
          <w:rFonts w:hint="default" w:ascii="TimesNewRoman" w:hAnsi="TimesNewRoman" w:cs="TimesNewRoman"/>
          <w:kern w:val="0"/>
          <w:sz w:val="20"/>
        </w:rPr>
        <w:t>部门公开表7</w:t>
      </w:r>
    </w:p>
    <w:p>
      <w:pPr>
        <w:keepNext w:val="0"/>
        <w:keepLines w:val="0"/>
        <w:pageBreakBefore w:val="0"/>
        <w:widowControl/>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NewRoman" w:hAnsi="TimesNewRoman" w:eastAsia="华文中宋" w:cs="TimesNewRoman"/>
          <w:b/>
          <w:bCs/>
          <w:kern w:val="0"/>
          <w:sz w:val="30"/>
          <w:szCs w:val="30"/>
        </w:rPr>
      </w:pPr>
      <w:r>
        <w:rPr>
          <w:rFonts w:hint="eastAsia" w:ascii="TimesNewRoman" w:hAnsi="TimesNewRoman" w:eastAsia="华文中宋" w:cs="TimesNewRoman"/>
          <w:b/>
          <w:bCs/>
          <w:kern w:val="0"/>
          <w:sz w:val="30"/>
          <w:szCs w:val="30"/>
          <w:lang w:eastAsia="zh-CN"/>
        </w:rPr>
        <w:t>中国致公党安庆市委员会</w:t>
      </w:r>
      <w:r>
        <w:rPr>
          <w:rFonts w:hint="default" w:ascii="TimesNewRoman" w:hAnsi="TimesNewRoman" w:eastAsia="华文中宋" w:cs="TimesNewRoman"/>
          <w:b/>
          <w:bCs/>
          <w:kern w:val="0"/>
          <w:sz w:val="30"/>
          <w:szCs w:val="30"/>
        </w:rPr>
        <w:t>202</w:t>
      </w:r>
      <w:r>
        <w:rPr>
          <w:rFonts w:hint="eastAsia" w:ascii="TimesNewRoman" w:hAnsi="TimesNewRoman" w:eastAsia="华文中宋" w:cs="TimesNewRoman"/>
          <w:b/>
          <w:bCs/>
          <w:kern w:val="0"/>
          <w:sz w:val="30"/>
          <w:szCs w:val="30"/>
          <w:lang w:val="en-US" w:eastAsia="zh-CN"/>
        </w:rPr>
        <w:t>3</w:t>
      </w:r>
      <w:r>
        <w:rPr>
          <w:rFonts w:hint="default" w:ascii="TimesNewRoman" w:hAnsi="TimesNewRoman" w:eastAsia="华文中宋" w:cs="TimesNewRoman"/>
          <w:b/>
          <w:bCs/>
          <w:kern w:val="0"/>
          <w:sz w:val="30"/>
          <w:szCs w:val="30"/>
        </w:rPr>
        <w:t>年政府性基金预算支出表</w:t>
      </w:r>
    </w:p>
    <w:p>
      <w:pPr>
        <w:keepNext w:val="0"/>
        <w:keepLines w:val="0"/>
        <w:pageBreakBefore w:val="0"/>
        <w:kinsoku/>
        <w:overflowPunct/>
        <w:topLinePunct w:val="0"/>
        <w:autoSpaceDE/>
        <w:autoSpaceDN/>
        <w:bidi w:val="0"/>
        <w:spacing w:line="560" w:lineRule="exact"/>
        <w:ind w:left="7400" w:hanging="7400" w:hangingChars="3700"/>
        <w:rPr>
          <w:rFonts w:hint="default" w:ascii="TimesNewRoman" w:hAnsi="TimesNewRoman" w:cs="TimesNewRoman"/>
          <w:kern w:val="0"/>
          <w:sz w:val="20"/>
        </w:rPr>
      </w:pPr>
      <w:r>
        <w:rPr>
          <w:rFonts w:hint="default" w:ascii="TimesNewRoman" w:hAnsi="TimesNewRoman" w:cs="TimesNewRoman"/>
          <w:kern w:val="0"/>
          <w:sz w:val="20"/>
        </w:rPr>
        <w:t xml:space="preserve">                                                                       单位：万元</w:t>
      </w:r>
    </w:p>
    <w:tbl>
      <w:tblPr>
        <w:tblStyle w:val="4"/>
        <w:tblW w:w="8505" w:type="dxa"/>
        <w:tblInd w:w="0" w:type="dxa"/>
        <w:tblLayout w:type="fixed"/>
        <w:tblCellMar>
          <w:top w:w="0" w:type="dxa"/>
          <w:left w:w="108" w:type="dxa"/>
          <w:bottom w:w="0" w:type="dxa"/>
          <w:right w:w="108" w:type="dxa"/>
        </w:tblCellMar>
      </w:tblPr>
      <w:tblGrid>
        <w:gridCol w:w="1165"/>
        <w:gridCol w:w="3820"/>
        <w:gridCol w:w="1000"/>
        <w:gridCol w:w="1230"/>
        <w:gridCol w:w="1290"/>
      </w:tblGrid>
      <w:tr>
        <w:tblPrEx>
          <w:tblCellMar>
            <w:top w:w="0" w:type="dxa"/>
            <w:left w:w="108" w:type="dxa"/>
            <w:bottom w:w="0" w:type="dxa"/>
            <w:right w:w="108" w:type="dxa"/>
          </w:tblCellMar>
        </w:tblPrEx>
        <w:trPr>
          <w:trHeight w:val="465" w:hRule="atLeast"/>
        </w:trPr>
        <w:tc>
          <w:tcPr>
            <w:tcW w:w="116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科目编码</w:t>
            </w:r>
          </w:p>
        </w:tc>
        <w:tc>
          <w:tcPr>
            <w:tcW w:w="382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科目名称</w:t>
            </w:r>
          </w:p>
        </w:tc>
        <w:tc>
          <w:tcPr>
            <w:tcW w:w="3520"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本年政府性基金预算支出</w:t>
            </w:r>
          </w:p>
        </w:tc>
      </w:tr>
      <w:tr>
        <w:tblPrEx>
          <w:tblCellMar>
            <w:top w:w="0" w:type="dxa"/>
            <w:left w:w="108" w:type="dxa"/>
            <w:bottom w:w="0" w:type="dxa"/>
            <w:right w:w="108" w:type="dxa"/>
          </w:tblCellMar>
        </w:tblPrEx>
        <w:trPr>
          <w:trHeight w:val="465" w:hRule="atLeast"/>
        </w:trPr>
        <w:tc>
          <w:tcPr>
            <w:tcW w:w="11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bCs/>
                <w:kern w:val="0"/>
                <w:sz w:val="22"/>
              </w:rPr>
            </w:pPr>
          </w:p>
        </w:tc>
        <w:tc>
          <w:tcPr>
            <w:tcW w:w="382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bCs/>
                <w:kern w:val="0"/>
                <w:sz w:val="22"/>
              </w:rPr>
            </w:pPr>
          </w:p>
        </w:tc>
        <w:tc>
          <w:tcPr>
            <w:tcW w:w="10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合计</w:t>
            </w:r>
          </w:p>
        </w:tc>
        <w:tc>
          <w:tcPr>
            <w:tcW w:w="12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基本支出</w:t>
            </w:r>
          </w:p>
        </w:tc>
        <w:tc>
          <w:tcPr>
            <w:tcW w:w="12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项目支出</w:t>
            </w:r>
          </w:p>
        </w:tc>
      </w:tr>
      <w:tr>
        <w:tblPrEx>
          <w:tblCellMar>
            <w:top w:w="0" w:type="dxa"/>
            <w:left w:w="108" w:type="dxa"/>
            <w:bottom w:w="0" w:type="dxa"/>
            <w:right w:w="108" w:type="dxa"/>
          </w:tblCellMar>
        </w:tblPrEx>
        <w:trPr>
          <w:trHeight w:val="360" w:hRule="atLeast"/>
        </w:trPr>
        <w:tc>
          <w:tcPr>
            <w:tcW w:w="11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eastAsia" w:ascii="TimesNewRoman" w:hAnsi="TimesNewRoman" w:eastAsia="仿宋_GB2312" w:cs="TimesNewRoman"/>
                <w:kern w:val="0"/>
                <w:sz w:val="20"/>
                <w:lang w:eastAsia="zh-CN"/>
              </w:rPr>
            </w:pPr>
          </w:p>
        </w:tc>
        <w:tc>
          <w:tcPr>
            <w:tcW w:w="38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10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1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eastAsia="仿宋_GB2312" w:cs="TimesNewRoman"/>
                <w:kern w:val="0"/>
                <w:sz w:val="22"/>
                <w:lang w:val="en-US" w:eastAsia="zh-CN"/>
              </w:rPr>
            </w:pPr>
          </w:p>
        </w:tc>
        <w:tc>
          <w:tcPr>
            <w:tcW w:w="38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ind w:firstLine="400" w:firstLineChars="200"/>
              <w:jc w:val="left"/>
              <w:rPr>
                <w:rFonts w:hint="default" w:ascii="TimesNewRoman" w:hAnsi="TimesNewRoman" w:cs="TimesNewRoman"/>
                <w:kern w:val="0"/>
                <w:sz w:val="20"/>
              </w:rPr>
            </w:pPr>
          </w:p>
        </w:tc>
        <w:tc>
          <w:tcPr>
            <w:tcW w:w="10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470" w:hRule="atLeast"/>
        </w:trPr>
        <w:tc>
          <w:tcPr>
            <w:tcW w:w="11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ind w:firstLine="110" w:firstLineChars="50"/>
              <w:jc w:val="left"/>
              <w:rPr>
                <w:rFonts w:hint="default" w:ascii="TimesNewRoman" w:hAnsi="TimesNewRoman" w:eastAsia="仿宋_GB2312" w:cs="TimesNewRoman"/>
                <w:kern w:val="0"/>
                <w:sz w:val="22"/>
                <w:lang w:val="en-US" w:eastAsia="zh-CN"/>
              </w:rPr>
            </w:pPr>
          </w:p>
        </w:tc>
        <w:tc>
          <w:tcPr>
            <w:tcW w:w="38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xml:space="preserve">   </w:t>
            </w:r>
            <w:r>
              <w:rPr>
                <w:rFonts w:hint="eastAsia" w:ascii="TimesNewRoman" w:hAnsi="TimesNewRoman" w:cs="TimesNewRoman"/>
                <w:kern w:val="0"/>
                <w:sz w:val="22"/>
                <w:lang w:val="en-US" w:eastAsia="zh-CN"/>
              </w:rPr>
              <w:t xml:space="preserve">    </w:t>
            </w:r>
          </w:p>
        </w:tc>
        <w:tc>
          <w:tcPr>
            <w:tcW w:w="10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1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2"/>
              </w:rPr>
            </w:pPr>
          </w:p>
        </w:tc>
        <w:tc>
          <w:tcPr>
            <w:tcW w:w="38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10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1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38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10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1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38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10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1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38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2"/>
              </w:rPr>
            </w:pPr>
            <w:r>
              <w:rPr>
                <w:rFonts w:hint="default" w:ascii="TimesNewRoman" w:hAnsi="TimesNewRoman" w:cs="TimesNewRoman"/>
                <w:kern w:val="0"/>
                <w:sz w:val="22"/>
              </w:rPr>
              <w:t>　</w:t>
            </w:r>
          </w:p>
        </w:tc>
        <w:tc>
          <w:tcPr>
            <w:tcW w:w="10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1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38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10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11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38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10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c>
          <w:tcPr>
            <w:tcW w:w="12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2"/>
              </w:rPr>
            </w:pPr>
            <w:r>
              <w:rPr>
                <w:rFonts w:hint="default" w:ascii="TimesNewRoman" w:hAnsi="TimesNewRoman" w:cs="TimesNewRoman"/>
                <w:kern w:val="0"/>
                <w:sz w:val="22"/>
              </w:rPr>
              <w:t>　</w:t>
            </w:r>
          </w:p>
        </w:tc>
      </w:tr>
      <w:tr>
        <w:tblPrEx>
          <w:tblCellMar>
            <w:top w:w="0" w:type="dxa"/>
            <w:left w:w="108" w:type="dxa"/>
            <w:bottom w:w="0" w:type="dxa"/>
            <w:right w:w="108" w:type="dxa"/>
          </w:tblCellMar>
        </w:tblPrEx>
        <w:trPr>
          <w:trHeight w:val="360" w:hRule="atLeast"/>
        </w:trPr>
        <w:tc>
          <w:tcPr>
            <w:tcW w:w="4985" w:type="dxa"/>
            <w:gridSpan w:val="2"/>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eastAsia" w:ascii="TimesNewRoman" w:hAnsi="TimesNewRoman" w:cs="TimesNewRoman"/>
                <w:b/>
                <w:bCs/>
                <w:kern w:val="0"/>
                <w:sz w:val="22"/>
                <w:lang w:eastAsia="zh-CN"/>
              </w:rPr>
              <w:t>合</w:t>
            </w:r>
            <w:r>
              <w:rPr>
                <w:rFonts w:hint="default" w:ascii="TimesNewRoman" w:hAnsi="TimesNewRoman" w:cs="TimesNewRoman"/>
                <w:b/>
                <w:bCs/>
                <w:kern w:val="0"/>
                <w:sz w:val="22"/>
              </w:rPr>
              <w:t xml:space="preserve"> 计</w:t>
            </w:r>
          </w:p>
        </w:tc>
        <w:tc>
          <w:tcPr>
            <w:tcW w:w="10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123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12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b/>
                <w:bCs/>
                <w:kern w:val="0"/>
                <w:sz w:val="22"/>
              </w:rPr>
            </w:pPr>
            <w:r>
              <w:rPr>
                <w:rFonts w:hint="default" w:ascii="TimesNewRoman" w:hAnsi="TimesNewRoman" w:cs="TimesNewRoman"/>
                <w:b/>
                <w:bCs/>
                <w:kern w:val="0"/>
                <w:sz w:val="22"/>
              </w:rPr>
              <w:t>　</w:t>
            </w:r>
          </w:p>
        </w:tc>
      </w:tr>
    </w:tbl>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注：中国致公党安庆市委员会没有政府性基金预算拨款收入，也没有政府性基金预算拨款安排的支出，故本表无数据。</w:t>
      </w: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pStyle w:val="3"/>
        <w:keepNext w:val="0"/>
        <w:keepLines w:val="0"/>
        <w:pageBreakBefore w:val="0"/>
        <w:widowControl w:val="0"/>
        <w:kinsoku/>
        <w:wordWrap/>
        <w:overflowPunct/>
        <w:topLinePunct w:val="0"/>
        <w:autoSpaceDE/>
        <w:autoSpaceDN/>
        <w:bidi w:val="0"/>
        <w:adjustRightInd w:val="0"/>
        <w:snapToGrid w:val="0"/>
        <w:spacing w:after="157" w:afterLines="50" w:line="560" w:lineRule="exact"/>
        <w:ind w:right="102"/>
        <w:jc w:val="right"/>
        <w:textAlignment w:val="auto"/>
        <w:rPr>
          <w:rFonts w:hint="default" w:ascii="TimesNewRoman" w:hAnsi="TimesNewRoman" w:eastAsia="黑体" w:cs="TimesNewRoman"/>
          <w:bCs/>
          <w:sz w:val="36"/>
          <w:szCs w:val="36"/>
        </w:rPr>
      </w:pPr>
      <w:r>
        <w:rPr>
          <w:rFonts w:hint="default" w:ascii="TimesNewRoman" w:hAnsi="TimesNewRoman" w:cs="TimesNewRoman"/>
          <w:sz w:val="20"/>
          <w:szCs w:val="20"/>
        </w:rPr>
        <w:t xml:space="preserve"> </w:t>
      </w:r>
      <w:r>
        <w:rPr>
          <w:rFonts w:hint="default" w:ascii="TimesNewRoman" w:hAnsi="TimesNewRoman" w:eastAsia="仿宋_GB2312" w:cs="TimesNewRoman"/>
          <w:kern w:val="0"/>
          <w:sz w:val="20"/>
          <w:szCs w:val="20"/>
          <w:lang w:val="en-US" w:eastAsia="zh-CN" w:bidi="ar-SA"/>
        </w:rPr>
        <w:t xml:space="preserve"> 部门公开表8</w:t>
      </w:r>
    </w:p>
    <w:tbl>
      <w:tblPr>
        <w:tblStyle w:val="4"/>
        <w:tblW w:w="9280" w:type="dxa"/>
        <w:tblInd w:w="0" w:type="dxa"/>
        <w:tblLayout w:type="fixed"/>
        <w:tblCellMar>
          <w:top w:w="0" w:type="dxa"/>
          <w:left w:w="108" w:type="dxa"/>
          <w:bottom w:w="0" w:type="dxa"/>
          <w:right w:w="108" w:type="dxa"/>
        </w:tblCellMar>
      </w:tblPr>
      <w:tblGrid>
        <w:gridCol w:w="491"/>
        <w:gridCol w:w="623"/>
        <w:gridCol w:w="3970"/>
        <w:gridCol w:w="236"/>
        <w:gridCol w:w="1094"/>
        <w:gridCol w:w="1390"/>
        <w:gridCol w:w="161"/>
        <w:gridCol w:w="1143"/>
        <w:gridCol w:w="172"/>
      </w:tblGrid>
      <w:tr>
        <w:tblPrEx>
          <w:tblCellMar>
            <w:top w:w="0" w:type="dxa"/>
            <w:left w:w="108" w:type="dxa"/>
            <w:bottom w:w="0" w:type="dxa"/>
            <w:right w:w="108" w:type="dxa"/>
          </w:tblCellMar>
        </w:tblPrEx>
        <w:trPr>
          <w:gridAfter w:val="1"/>
          <w:wAfter w:w="172" w:type="dxa"/>
          <w:trHeight w:val="553" w:hRule="atLeast"/>
        </w:trPr>
        <w:tc>
          <w:tcPr>
            <w:tcW w:w="9108" w:type="dxa"/>
            <w:gridSpan w:val="8"/>
            <w:tcBorders>
              <w:top w:val="nil"/>
              <w:left w:val="nil"/>
              <w:bottom w:val="nil"/>
              <w:right w:val="nil"/>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eastAsia="华文中宋" w:cs="TimesNewRoman"/>
                <w:b/>
                <w:bCs/>
                <w:kern w:val="0"/>
                <w:sz w:val="30"/>
                <w:szCs w:val="30"/>
              </w:rPr>
            </w:pPr>
            <w:r>
              <w:rPr>
                <w:rFonts w:hint="eastAsia" w:ascii="TimesNewRoman" w:hAnsi="TimesNewRoman" w:eastAsia="华文中宋" w:cs="TimesNewRoman"/>
                <w:b/>
                <w:bCs/>
                <w:kern w:val="0"/>
                <w:sz w:val="30"/>
                <w:szCs w:val="30"/>
                <w:lang w:eastAsia="zh-CN"/>
              </w:rPr>
              <w:t>中国致公党安庆市委员会</w:t>
            </w:r>
            <w:r>
              <w:rPr>
                <w:rFonts w:hint="default" w:ascii="TimesNewRoman" w:hAnsi="TimesNewRoman" w:eastAsia="华文中宋" w:cs="TimesNewRoman"/>
                <w:b/>
                <w:bCs/>
                <w:kern w:val="0"/>
                <w:sz w:val="30"/>
                <w:szCs w:val="30"/>
              </w:rPr>
              <w:t>202</w:t>
            </w:r>
            <w:r>
              <w:rPr>
                <w:rFonts w:hint="eastAsia" w:ascii="TimesNewRoman" w:hAnsi="TimesNewRoman" w:eastAsia="华文中宋" w:cs="TimesNewRoman"/>
                <w:b/>
                <w:bCs/>
                <w:kern w:val="0"/>
                <w:sz w:val="30"/>
                <w:szCs w:val="30"/>
                <w:lang w:val="en-US" w:eastAsia="zh-CN"/>
              </w:rPr>
              <w:t>3</w:t>
            </w:r>
            <w:r>
              <w:rPr>
                <w:rFonts w:hint="default" w:ascii="TimesNewRoman" w:hAnsi="TimesNewRoman" w:eastAsia="华文中宋" w:cs="TimesNewRoman"/>
                <w:b/>
                <w:bCs/>
                <w:kern w:val="0"/>
                <w:sz w:val="30"/>
                <w:szCs w:val="30"/>
              </w:rPr>
              <w:t>年国有资本经营预算支出表</w:t>
            </w:r>
          </w:p>
        </w:tc>
      </w:tr>
      <w:tr>
        <w:tblPrEx>
          <w:tblCellMar>
            <w:top w:w="0" w:type="dxa"/>
            <w:left w:w="108" w:type="dxa"/>
            <w:bottom w:w="0" w:type="dxa"/>
            <w:right w:w="108" w:type="dxa"/>
          </w:tblCellMar>
        </w:tblPrEx>
        <w:trPr>
          <w:trHeight w:val="375" w:hRule="atLeast"/>
        </w:trPr>
        <w:tc>
          <w:tcPr>
            <w:tcW w:w="491"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18"/>
                <w:szCs w:val="18"/>
              </w:rPr>
            </w:pPr>
          </w:p>
        </w:tc>
        <w:tc>
          <w:tcPr>
            <w:tcW w:w="623"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3970" w:type="dxa"/>
            <w:tcBorders>
              <w:top w:val="nil"/>
              <w:left w:val="nil"/>
              <w:bottom w:val="single" w:color="auto" w:sz="4" w:space="0"/>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236" w:type="dxa"/>
            <w:tcBorders>
              <w:top w:val="nil"/>
              <w:left w:val="nil"/>
              <w:bottom w:val="nil"/>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2645" w:type="dxa"/>
            <w:gridSpan w:val="3"/>
            <w:tcBorders>
              <w:top w:val="nil"/>
              <w:left w:val="nil"/>
              <w:bottom w:val="nil"/>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1315" w:type="dxa"/>
            <w:gridSpan w:val="2"/>
            <w:tcBorders>
              <w:top w:val="nil"/>
              <w:left w:val="nil"/>
              <w:bottom w:val="nil"/>
              <w:right w:val="nil"/>
            </w:tcBorders>
            <w:noWrap w:val="0"/>
            <w:vAlign w:val="center"/>
          </w:tcPr>
          <w:p>
            <w:pPr>
              <w:keepNext w:val="0"/>
              <w:keepLines w:val="0"/>
              <w:pageBreakBefore w:val="0"/>
              <w:widowControl/>
              <w:kinsoku/>
              <w:overflowPunct/>
              <w:topLinePunct w:val="0"/>
              <w:autoSpaceDE/>
              <w:autoSpaceDN/>
              <w:bidi w:val="0"/>
              <w:spacing w:line="560" w:lineRule="exact"/>
              <w:ind w:right="100"/>
              <w:jc w:val="right"/>
              <w:rPr>
                <w:rFonts w:hint="default" w:ascii="TimesNewRoman" w:hAnsi="TimesNewRoman" w:cs="TimesNewRoman"/>
                <w:kern w:val="0"/>
                <w:sz w:val="20"/>
              </w:rPr>
            </w:pPr>
            <w:r>
              <w:rPr>
                <w:rFonts w:hint="default" w:ascii="TimesNewRoman" w:hAnsi="TimesNewRoman" w:cs="TimesNewRoman"/>
                <w:kern w:val="0"/>
                <w:sz w:val="20"/>
              </w:rPr>
              <w:t>单位：万元</w:t>
            </w:r>
          </w:p>
        </w:tc>
      </w:tr>
      <w:tr>
        <w:tblPrEx>
          <w:tblCellMar>
            <w:top w:w="0" w:type="dxa"/>
            <w:left w:w="108" w:type="dxa"/>
            <w:bottom w:w="0" w:type="dxa"/>
            <w:right w:w="108" w:type="dxa"/>
          </w:tblCellMar>
        </w:tblPrEx>
        <w:trPr>
          <w:gridAfter w:val="1"/>
          <w:wAfter w:w="172" w:type="dxa"/>
          <w:trHeight w:val="405" w:hRule="atLeast"/>
        </w:trPr>
        <w:tc>
          <w:tcPr>
            <w:tcW w:w="508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kern w:val="0"/>
                <w:sz w:val="24"/>
              </w:rPr>
            </w:pPr>
            <w:r>
              <w:rPr>
                <w:rFonts w:hint="default" w:ascii="TimesNewRoman" w:hAnsi="TimesNewRoman" w:cs="TimesNewRoman"/>
                <w:b/>
                <w:kern w:val="0"/>
                <w:sz w:val="22"/>
              </w:rPr>
              <w:t>功能分类科目</w:t>
            </w:r>
          </w:p>
        </w:tc>
        <w:tc>
          <w:tcPr>
            <w:tcW w:w="402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r>
              <w:rPr>
                <w:rFonts w:hint="default" w:ascii="TimesNewRoman" w:hAnsi="TimesNewRoman" w:cs="TimesNewRoman"/>
                <w:b/>
                <w:bCs/>
                <w:kern w:val="0"/>
                <w:sz w:val="22"/>
              </w:rPr>
              <w:t>国有资本经营预算拨款支出</w:t>
            </w:r>
          </w:p>
        </w:tc>
      </w:tr>
      <w:tr>
        <w:tblPrEx>
          <w:tblCellMar>
            <w:top w:w="0" w:type="dxa"/>
            <w:left w:w="108" w:type="dxa"/>
            <w:bottom w:w="0" w:type="dxa"/>
            <w:right w:w="108" w:type="dxa"/>
          </w:tblCellMar>
        </w:tblPrEx>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科目编码</w:t>
            </w:r>
          </w:p>
        </w:tc>
        <w:tc>
          <w:tcPr>
            <w:tcW w:w="39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科目名称</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合计</w:t>
            </w:r>
          </w:p>
        </w:tc>
        <w:tc>
          <w:tcPr>
            <w:tcW w:w="139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基本支出</w:t>
            </w: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项目支出</w:t>
            </w:r>
          </w:p>
        </w:tc>
      </w:tr>
      <w:tr>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Cs/>
                <w:kern w:val="0"/>
                <w:sz w:val="22"/>
              </w:rPr>
            </w:pPr>
          </w:p>
        </w:tc>
        <w:tc>
          <w:tcPr>
            <w:tcW w:w="39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Cs/>
                <w:kern w:val="0"/>
                <w:sz w:val="22"/>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r>
              <w:rPr>
                <w:rFonts w:hint="default" w:ascii="TimesNewRoman" w:hAnsi="TimesNewRoman" w:cs="TimesNewRoman"/>
                <w:kern w:val="0"/>
                <w:sz w:val="24"/>
              </w:rPr>
              <w:t>　</w:t>
            </w:r>
          </w:p>
        </w:tc>
        <w:tc>
          <w:tcPr>
            <w:tcW w:w="139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r>
              <w:rPr>
                <w:rFonts w:hint="default" w:ascii="TimesNewRoman" w:hAnsi="TimesNewRoman" w:cs="TimesNewRoman"/>
                <w:kern w:val="0"/>
                <w:sz w:val="24"/>
              </w:rPr>
              <w:t>　</w:t>
            </w: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r>
              <w:rPr>
                <w:rFonts w:hint="default" w:ascii="TimesNewRoman" w:hAnsi="TimesNewRoman" w:cs="TimesNewRoman"/>
                <w:kern w:val="0"/>
                <w:sz w:val="24"/>
              </w:rPr>
              <w:t>　</w:t>
            </w:r>
          </w:p>
        </w:tc>
      </w:tr>
      <w:tr>
        <w:tblPrEx>
          <w:tblCellMar>
            <w:top w:w="0" w:type="dxa"/>
            <w:left w:w="108" w:type="dxa"/>
            <w:bottom w:w="0" w:type="dxa"/>
            <w:right w:w="108" w:type="dxa"/>
          </w:tblCellMar>
        </w:tblPrEx>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p>
        </w:tc>
        <w:tc>
          <w:tcPr>
            <w:tcW w:w="39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ind w:firstLine="440" w:firstLineChars="200"/>
              <w:jc w:val="left"/>
              <w:rPr>
                <w:rFonts w:hint="default" w:ascii="TimesNewRoman" w:hAnsi="TimesNewRoman" w:cs="TimesNewRoman"/>
                <w:kern w:val="0"/>
                <w:sz w:val="22"/>
              </w:rPr>
            </w:pPr>
          </w:p>
        </w:tc>
        <w:tc>
          <w:tcPr>
            <w:tcW w:w="13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3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39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ind w:firstLine="880" w:firstLineChars="400"/>
              <w:jc w:val="left"/>
              <w:rPr>
                <w:rFonts w:hint="default" w:ascii="TimesNewRoman" w:hAnsi="TimesNewRoman" w:cs="TimesNewRoman"/>
                <w:kern w:val="0"/>
                <w:sz w:val="22"/>
              </w:rPr>
            </w:pPr>
          </w:p>
        </w:tc>
        <w:tc>
          <w:tcPr>
            <w:tcW w:w="13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r>
      <w:tr>
        <w:tblPrEx>
          <w:tblCellMar>
            <w:top w:w="0" w:type="dxa"/>
            <w:left w:w="108" w:type="dxa"/>
            <w:bottom w:w="0" w:type="dxa"/>
            <w:right w:w="108" w:type="dxa"/>
          </w:tblCellMar>
        </w:tblPrEx>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2"/>
              </w:rPr>
            </w:pPr>
          </w:p>
        </w:tc>
        <w:tc>
          <w:tcPr>
            <w:tcW w:w="39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2"/>
              </w:rPr>
            </w:pPr>
          </w:p>
        </w:tc>
        <w:tc>
          <w:tcPr>
            <w:tcW w:w="13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p>
        </w:tc>
        <w:tc>
          <w:tcPr>
            <w:tcW w:w="13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p>
        </w:tc>
      </w:tr>
      <w:tr>
        <w:tblPrEx>
          <w:tblCellMar>
            <w:top w:w="0" w:type="dxa"/>
            <w:left w:w="108" w:type="dxa"/>
            <w:bottom w:w="0" w:type="dxa"/>
            <w:right w:w="108" w:type="dxa"/>
          </w:tblCellMar>
        </w:tblPrEx>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p>
        </w:tc>
        <w:tc>
          <w:tcPr>
            <w:tcW w:w="39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p>
        </w:tc>
        <w:tc>
          <w:tcPr>
            <w:tcW w:w="13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p>
        </w:tc>
        <w:tc>
          <w:tcPr>
            <w:tcW w:w="13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p>
        </w:tc>
      </w:tr>
      <w:tr>
        <w:tblPrEx>
          <w:tblCellMar>
            <w:top w:w="0" w:type="dxa"/>
            <w:left w:w="108" w:type="dxa"/>
            <w:bottom w:w="0" w:type="dxa"/>
            <w:right w:w="108" w:type="dxa"/>
          </w:tblCellMar>
        </w:tblPrEx>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39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13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r>
      <w:tr>
        <w:tblPrEx>
          <w:tblCellMar>
            <w:top w:w="0" w:type="dxa"/>
            <w:left w:w="108" w:type="dxa"/>
            <w:bottom w:w="0" w:type="dxa"/>
            <w:right w:w="108" w:type="dxa"/>
          </w:tblCellMar>
        </w:tblPrEx>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000000" w:sz="4" w:space="0"/>
            </w:tcBorders>
            <w:noWrap w:val="0"/>
            <w:vAlign w:val="bottom"/>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p>
        </w:tc>
        <w:tc>
          <w:tcPr>
            <w:tcW w:w="3970" w:type="dxa"/>
            <w:tcBorders>
              <w:top w:val="nil"/>
              <w:left w:val="nil"/>
              <w:bottom w:val="single" w:color="auto" w:sz="4" w:space="0"/>
              <w:right w:val="single" w:color="auto" w:sz="4" w:space="0"/>
            </w:tcBorders>
            <w:noWrap w:val="0"/>
            <w:vAlign w:val="bottom"/>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p>
        </w:tc>
        <w:tc>
          <w:tcPr>
            <w:tcW w:w="13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r>
      <w:tr>
        <w:tblPrEx>
          <w:tblCellMar>
            <w:top w:w="0" w:type="dxa"/>
            <w:left w:w="108" w:type="dxa"/>
            <w:bottom w:w="0" w:type="dxa"/>
            <w:right w:w="108" w:type="dxa"/>
          </w:tblCellMar>
        </w:tblPrEx>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2"/>
              </w:rPr>
            </w:pPr>
            <w:r>
              <w:rPr>
                <w:rFonts w:hint="default" w:ascii="TimesNewRoman" w:hAnsi="TimesNewRoman" w:cs="TimesNewRoman"/>
                <w:kern w:val="0"/>
                <w:sz w:val="22"/>
              </w:rPr>
              <w:t>　</w:t>
            </w:r>
          </w:p>
        </w:tc>
        <w:tc>
          <w:tcPr>
            <w:tcW w:w="39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13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r>
      <w:tr>
        <w:tblPrEx>
          <w:tblCellMar>
            <w:top w:w="0" w:type="dxa"/>
            <w:left w:w="108" w:type="dxa"/>
            <w:bottom w:w="0" w:type="dxa"/>
            <w:right w:w="108" w:type="dxa"/>
          </w:tblCellMar>
        </w:tblPrEx>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2"/>
              </w:rPr>
            </w:pPr>
            <w:r>
              <w:rPr>
                <w:rFonts w:hint="default" w:ascii="TimesNewRoman" w:hAnsi="TimesNewRoman" w:cs="TimesNewRoman"/>
                <w:kern w:val="0"/>
                <w:sz w:val="22"/>
              </w:rPr>
              <w:t>　</w:t>
            </w:r>
          </w:p>
        </w:tc>
        <w:tc>
          <w:tcPr>
            <w:tcW w:w="39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2"/>
              </w:rPr>
            </w:pPr>
            <w:r>
              <w:rPr>
                <w:rFonts w:hint="default" w:ascii="TimesNewRoman" w:hAnsi="TimesNewRoman" w:cs="TimesNewRoman"/>
                <w:kern w:val="0"/>
                <w:sz w:val="22"/>
              </w:rPr>
              <w:t>　</w:t>
            </w:r>
          </w:p>
        </w:tc>
        <w:tc>
          <w:tcPr>
            <w:tcW w:w="13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r>
      <w:tr>
        <w:tblPrEx>
          <w:tblCellMar>
            <w:top w:w="0" w:type="dxa"/>
            <w:left w:w="108" w:type="dxa"/>
            <w:bottom w:w="0" w:type="dxa"/>
            <w:right w:w="108" w:type="dxa"/>
          </w:tblCellMar>
        </w:tblPrEx>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r>
              <w:rPr>
                <w:rFonts w:hint="default" w:ascii="TimesNewRoman" w:hAnsi="TimesNewRoman" w:cs="TimesNewRoman"/>
                <w:kern w:val="0"/>
                <w:sz w:val="24"/>
              </w:rPr>
              <w:t>　</w:t>
            </w:r>
          </w:p>
        </w:tc>
        <w:tc>
          <w:tcPr>
            <w:tcW w:w="39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3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3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r>
              <w:rPr>
                <w:rFonts w:hint="default" w:ascii="TimesNewRoman" w:hAnsi="TimesNewRoman" w:cs="TimesNewRoman"/>
                <w:kern w:val="0"/>
                <w:sz w:val="24"/>
              </w:rPr>
              <w:t>　</w:t>
            </w:r>
          </w:p>
        </w:tc>
        <w:tc>
          <w:tcPr>
            <w:tcW w:w="39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r>
      <w:tr>
        <w:tblPrEx>
          <w:tblCellMar>
            <w:top w:w="0" w:type="dxa"/>
            <w:left w:w="108" w:type="dxa"/>
            <w:bottom w:w="0" w:type="dxa"/>
            <w:right w:w="108" w:type="dxa"/>
          </w:tblCellMar>
        </w:tblPrEx>
        <w:trPr>
          <w:gridAfter w:val="1"/>
          <w:wAfter w:w="172" w:type="dxa"/>
          <w:trHeight w:val="405" w:hRule="atLeast"/>
        </w:trPr>
        <w:tc>
          <w:tcPr>
            <w:tcW w:w="11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r>
              <w:rPr>
                <w:rFonts w:hint="default" w:ascii="TimesNewRoman" w:hAnsi="TimesNewRoman" w:cs="TimesNewRoman"/>
                <w:kern w:val="0"/>
                <w:sz w:val="24"/>
              </w:rPr>
              <w:t>　</w:t>
            </w:r>
          </w:p>
        </w:tc>
        <w:tc>
          <w:tcPr>
            <w:tcW w:w="397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　</w:t>
            </w:r>
          </w:p>
        </w:tc>
      </w:tr>
      <w:tr>
        <w:tblPrEx>
          <w:tblCellMar>
            <w:top w:w="0" w:type="dxa"/>
            <w:left w:w="108" w:type="dxa"/>
            <w:bottom w:w="0" w:type="dxa"/>
            <w:right w:w="108" w:type="dxa"/>
          </w:tblCellMar>
        </w:tblPrEx>
        <w:trPr>
          <w:gridAfter w:val="1"/>
          <w:wAfter w:w="172" w:type="dxa"/>
          <w:trHeight w:val="405" w:hRule="atLeast"/>
        </w:trPr>
        <w:tc>
          <w:tcPr>
            <w:tcW w:w="508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r>
              <w:rPr>
                <w:rFonts w:hint="eastAsia" w:ascii="TimesNewRoman" w:hAnsi="TimesNewRoman" w:cs="TimesNewRoman"/>
                <w:b/>
                <w:bCs/>
                <w:kern w:val="0"/>
                <w:sz w:val="22"/>
                <w:lang w:eastAsia="zh-CN"/>
              </w:rPr>
              <w:t>合</w:t>
            </w:r>
            <w:r>
              <w:rPr>
                <w:rFonts w:hint="default" w:ascii="TimesNewRoman" w:hAnsi="TimesNewRoman" w:cs="TimesNewRoman"/>
                <w:b/>
                <w:bCs/>
                <w:kern w:val="0"/>
                <w:sz w:val="22"/>
              </w:rPr>
              <w:t xml:space="preserve"> 计</w:t>
            </w:r>
          </w:p>
        </w:tc>
        <w:tc>
          <w:tcPr>
            <w:tcW w:w="13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r>
              <w:rPr>
                <w:rFonts w:hint="default" w:ascii="TimesNewRoman" w:hAnsi="TimesNewRoman" w:cs="TimesNewRoman"/>
                <w:kern w:val="0"/>
                <w:sz w:val="24"/>
              </w:rPr>
              <w:t>　</w:t>
            </w:r>
          </w:p>
        </w:tc>
        <w:tc>
          <w:tcPr>
            <w:tcW w:w="139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r>
              <w:rPr>
                <w:rFonts w:hint="default" w:ascii="TimesNewRoman" w:hAnsi="TimesNewRoman" w:cs="TimesNewRoman"/>
                <w:kern w:val="0"/>
                <w:sz w:val="24"/>
              </w:rPr>
              <w:t>　</w:t>
            </w:r>
          </w:p>
        </w:tc>
        <w:tc>
          <w:tcPr>
            <w:tcW w:w="1304"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4"/>
              </w:rPr>
            </w:pPr>
            <w:r>
              <w:rPr>
                <w:rFonts w:hint="default" w:ascii="TimesNewRoman" w:hAnsi="TimesNewRoman" w:cs="TimesNewRoman"/>
                <w:kern w:val="0"/>
                <w:sz w:val="24"/>
              </w:rPr>
              <w:t>　</w:t>
            </w:r>
          </w:p>
        </w:tc>
      </w:tr>
      <w:tr>
        <w:tblPrEx>
          <w:tblCellMar>
            <w:top w:w="0" w:type="dxa"/>
            <w:left w:w="108" w:type="dxa"/>
            <w:bottom w:w="0" w:type="dxa"/>
            <w:right w:w="108" w:type="dxa"/>
          </w:tblCellMar>
        </w:tblPrEx>
        <w:trPr>
          <w:gridAfter w:val="1"/>
          <w:wAfter w:w="172" w:type="dxa"/>
          <w:trHeight w:val="795" w:hRule="atLeast"/>
        </w:trPr>
        <w:tc>
          <w:tcPr>
            <w:tcW w:w="9108" w:type="dxa"/>
            <w:gridSpan w:val="8"/>
            <w:tcBorders>
              <w:top w:val="single" w:color="auto" w:sz="4" w:space="0"/>
              <w:left w:val="nil"/>
              <w:bottom w:val="nil"/>
              <w:right w:val="nil"/>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4"/>
              </w:rPr>
            </w:pPr>
            <w:r>
              <w:rPr>
                <w:rFonts w:hint="default" w:ascii="TimesNewRoman" w:hAnsi="TimesNewRoman" w:cs="TimesNewRoman"/>
                <w:kern w:val="0"/>
                <w:sz w:val="24"/>
              </w:rPr>
              <w:t>注：中国致公党安庆市委员会没有国有资本经营预算拨款收入，也没有国有资本经营预算拨款安排的支出，故本表无数据。</w:t>
            </w:r>
          </w:p>
        </w:tc>
      </w:tr>
    </w:tbl>
    <w:p>
      <w:pPr>
        <w:pStyle w:val="3"/>
        <w:keepNext w:val="0"/>
        <w:keepLines w:val="0"/>
        <w:pageBreakBefore w:val="0"/>
        <w:kinsoku/>
        <w:overflowPunct/>
        <w:topLinePunct w:val="0"/>
        <w:autoSpaceDE/>
        <w:autoSpaceDN/>
        <w:bidi w:val="0"/>
        <w:adjustRightInd w:val="0"/>
        <w:snapToGrid w:val="0"/>
        <w:spacing w:line="560" w:lineRule="exact"/>
        <w:ind w:right="400"/>
        <w:rPr>
          <w:rFonts w:hint="default" w:ascii="TimesNewRoman" w:hAnsi="TimesNewRoman" w:cs="TimesNewRoman"/>
          <w:sz w:val="20"/>
          <w:szCs w:val="20"/>
        </w:rPr>
      </w:pPr>
    </w:p>
    <w:p>
      <w:pPr>
        <w:keepNext w:val="0"/>
        <w:keepLines w:val="0"/>
        <w:pageBreakBefore w:val="0"/>
        <w:kinsoku/>
        <w:overflowPunct/>
        <w:topLinePunct w:val="0"/>
        <w:autoSpaceDE/>
        <w:autoSpaceDN/>
        <w:bidi w:val="0"/>
        <w:spacing w:line="560" w:lineRule="exact"/>
        <w:jc w:val="right"/>
        <w:rPr>
          <w:rFonts w:hint="default" w:ascii="TimesNewRoman" w:hAnsi="TimesNewRoman" w:cs="TimesNewRoman"/>
          <w:kern w:val="0"/>
          <w:sz w:val="20"/>
        </w:rPr>
        <w:sectPr>
          <w:pgSz w:w="11906" w:h="16838"/>
          <w:pgMar w:top="800" w:right="1797" w:bottom="1440" w:left="1797"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p>
    <w:p>
      <w:pPr>
        <w:keepNext w:val="0"/>
        <w:keepLines w:val="0"/>
        <w:pageBreakBefore w:val="0"/>
        <w:kinsoku/>
        <w:overflowPunct/>
        <w:topLinePunct w:val="0"/>
        <w:autoSpaceDE/>
        <w:autoSpaceDN/>
        <w:bidi w:val="0"/>
        <w:spacing w:line="560" w:lineRule="exact"/>
        <w:jc w:val="center"/>
        <w:rPr>
          <w:rFonts w:hint="default" w:ascii="TimesNewRoman" w:hAnsi="TimesNewRoman" w:cs="TimesNewRoman"/>
          <w:kern w:val="0"/>
          <w:sz w:val="20"/>
        </w:rPr>
      </w:pPr>
      <w:r>
        <w:rPr>
          <w:rFonts w:hint="eastAsia" w:ascii="TimesNewRoman" w:hAnsi="TimesNewRoman" w:cs="TimesNewRoman"/>
          <w:kern w:val="0"/>
          <w:sz w:val="20"/>
          <w:lang w:val="en-US" w:eastAsia="zh-CN"/>
        </w:rPr>
        <w:t xml:space="preserve">                                                                                                          </w:t>
      </w:r>
      <w:r>
        <w:rPr>
          <w:rFonts w:hint="default" w:ascii="TimesNewRoman" w:hAnsi="TimesNewRoman" w:cs="TimesNewRoman"/>
          <w:kern w:val="0"/>
          <w:sz w:val="20"/>
        </w:rPr>
        <w:t>部门公开表9</w:t>
      </w:r>
    </w:p>
    <w:p>
      <w:pPr>
        <w:keepNext w:val="0"/>
        <w:keepLines w:val="0"/>
        <w:pageBreakBefore w:val="0"/>
        <w:widowControl/>
        <w:kinsoku/>
        <w:overflowPunct/>
        <w:topLinePunct w:val="0"/>
        <w:autoSpaceDE/>
        <w:autoSpaceDN/>
        <w:bidi w:val="0"/>
        <w:spacing w:line="560" w:lineRule="exact"/>
        <w:jc w:val="center"/>
        <w:rPr>
          <w:rFonts w:hint="default" w:ascii="TimesNewRoman" w:hAnsi="TimesNewRoman" w:eastAsia="华文中宋" w:cs="TimesNewRoman"/>
          <w:b/>
          <w:bCs/>
          <w:kern w:val="0"/>
          <w:sz w:val="30"/>
          <w:szCs w:val="30"/>
        </w:rPr>
      </w:pPr>
      <w:r>
        <w:rPr>
          <w:rFonts w:hint="eastAsia" w:ascii="TimesNewRoman" w:hAnsi="TimesNewRoman" w:eastAsia="华文中宋" w:cs="TimesNewRoman"/>
          <w:b/>
          <w:bCs/>
          <w:kern w:val="0"/>
          <w:sz w:val="30"/>
          <w:szCs w:val="30"/>
          <w:lang w:eastAsia="zh-CN"/>
        </w:rPr>
        <w:t>中国致公党安庆市委员会</w:t>
      </w:r>
      <w:r>
        <w:rPr>
          <w:rFonts w:hint="default" w:ascii="TimesNewRoman" w:hAnsi="TimesNewRoman" w:eastAsia="华文中宋" w:cs="TimesNewRoman"/>
          <w:b/>
          <w:bCs/>
          <w:kern w:val="0"/>
          <w:sz w:val="30"/>
          <w:szCs w:val="30"/>
        </w:rPr>
        <w:t>202</w:t>
      </w:r>
      <w:r>
        <w:rPr>
          <w:rFonts w:hint="eastAsia" w:ascii="TimesNewRoman" w:hAnsi="TimesNewRoman" w:eastAsia="华文中宋" w:cs="TimesNewRoman"/>
          <w:b/>
          <w:bCs/>
          <w:kern w:val="0"/>
          <w:sz w:val="30"/>
          <w:szCs w:val="30"/>
          <w:lang w:val="en-US" w:eastAsia="zh-CN"/>
        </w:rPr>
        <w:t>3</w:t>
      </w:r>
      <w:r>
        <w:rPr>
          <w:rFonts w:hint="default" w:ascii="TimesNewRoman" w:hAnsi="TimesNewRoman" w:eastAsia="华文中宋" w:cs="TimesNewRoman"/>
          <w:b/>
          <w:bCs/>
          <w:kern w:val="0"/>
          <w:sz w:val="30"/>
          <w:szCs w:val="30"/>
        </w:rPr>
        <w:t>年项目支出表</w:t>
      </w:r>
    </w:p>
    <w:p>
      <w:pPr>
        <w:keepNext w:val="0"/>
        <w:keepLines w:val="0"/>
        <w:pageBreakBefore w:val="0"/>
        <w:kinsoku/>
        <w:overflowPunct/>
        <w:topLinePunct w:val="0"/>
        <w:autoSpaceDE/>
        <w:autoSpaceDN/>
        <w:bidi w:val="0"/>
        <w:spacing w:line="560" w:lineRule="exact"/>
        <w:ind w:left="7400" w:hanging="7807" w:hangingChars="3700"/>
        <w:rPr>
          <w:rFonts w:hint="default" w:ascii="TimesNewRoman" w:hAnsi="TimesNewRoman" w:cs="TimesNewRoman"/>
          <w:kern w:val="0"/>
          <w:sz w:val="20"/>
        </w:rPr>
      </w:pPr>
      <w:r>
        <w:rPr>
          <w:rFonts w:hint="default" w:ascii="TimesNewRoman" w:hAnsi="TimesNewRoman" w:cs="TimesNewRoman"/>
          <w:kern w:val="0"/>
          <w:sz w:val="20"/>
        </w:rPr>
        <w:t xml:space="preserve">                                                                                                                       单位：万元</w:t>
      </w:r>
    </w:p>
    <w:tbl>
      <w:tblPr>
        <w:tblStyle w:val="4"/>
        <w:tblW w:w="14140" w:type="dxa"/>
        <w:tblInd w:w="0" w:type="dxa"/>
        <w:tblLayout w:type="fixed"/>
        <w:tblCellMar>
          <w:top w:w="0" w:type="dxa"/>
          <w:left w:w="108" w:type="dxa"/>
          <w:bottom w:w="0" w:type="dxa"/>
          <w:right w:w="108" w:type="dxa"/>
        </w:tblCellMar>
      </w:tblPr>
      <w:tblGrid>
        <w:gridCol w:w="961"/>
        <w:gridCol w:w="1679"/>
        <w:gridCol w:w="1216"/>
        <w:gridCol w:w="1064"/>
        <w:gridCol w:w="1220"/>
        <w:gridCol w:w="1220"/>
        <w:gridCol w:w="1220"/>
        <w:gridCol w:w="1220"/>
        <w:gridCol w:w="1220"/>
        <w:gridCol w:w="1220"/>
        <w:gridCol w:w="1020"/>
        <w:gridCol w:w="880"/>
      </w:tblGrid>
      <w:tr>
        <w:tblPrEx>
          <w:tblCellMar>
            <w:top w:w="0" w:type="dxa"/>
            <w:left w:w="108" w:type="dxa"/>
            <w:bottom w:w="0" w:type="dxa"/>
            <w:right w:w="108" w:type="dxa"/>
          </w:tblCellMar>
        </w:tblPrEx>
        <w:trPr>
          <w:trHeight w:val="762" w:hRule="atLeast"/>
        </w:trPr>
        <w:tc>
          <w:tcPr>
            <w:tcW w:w="96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类型</w:t>
            </w:r>
          </w:p>
        </w:tc>
        <w:tc>
          <w:tcPr>
            <w:tcW w:w="1679" w:type="dxa"/>
            <w:vMerge w:val="restar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项目名称</w:t>
            </w:r>
          </w:p>
        </w:tc>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项目单位</w:t>
            </w:r>
          </w:p>
        </w:tc>
        <w:tc>
          <w:tcPr>
            <w:tcW w:w="1064" w:type="dxa"/>
            <w:vMerge w:val="restart"/>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合计</w:t>
            </w:r>
          </w:p>
        </w:tc>
        <w:tc>
          <w:tcPr>
            <w:tcW w:w="3660" w:type="dxa"/>
            <w:gridSpan w:val="3"/>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本年财政拨款</w:t>
            </w:r>
          </w:p>
        </w:tc>
        <w:tc>
          <w:tcPr>
            <w:tcW w:w="3660" w:type="dxa"/>
            <w:gridSpan w:val="3"/>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财政拨款结转结余</w:t>
            </w:r>
          </w:p>
        </w:tc>
        <w:tc>
          <w:tcPr>
            <w:tcW w:w="1020" w:type="dxa"/>
            <w:vMerge w:val="restart"/>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财政专户管理资金</w:t>
            </w:r>
          </w:p>
        </w:tc>
        <w:tc>
          <w:tcPr>
            <w:tcW w:w="880" w:type="dxa"/>
            <w:vMerge w:val="restart"/>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单位</w:t>
            </w:r>
          </w:p>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资金</w:t>
            </w:r>
          </w:p>
        </w:tc>
      </w:tr>
      <w:tr>
        <w:tblPrEx>
          <w:tblCellMar>
            <w:top w:w="0" w:type="dxa"/>
            <w:left w:w="108" w:type="dxa"/>
            <w:bottom w:w="0" w:type="dxa"/>
            <w:right w:w="108" w:type="dxa"/>
          </w:tblCellMar>
        </w:tblPrEx>
        <w:trPr>
          <w:trHeight w:val="995" w:hRule="atLeast"/>
        </w:trPr>
        <w:tc>
          <w:tcPr>
            <w:tcW w:w="96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bCs/>
                <w:kern w:val="0"/>
                <w:sz w:val="22"/>
              </w:rPr>
            </w:pPr>
          </w:p>
        </w:tc>
        <w:tc>
          <w:tcPr>
            <w:tcW w:w="1679" w:type="dxa"/>
            <w:vMerge w:val="continue"/>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bCs/>
                <w:kern w:val="0"/>
                <w:sz w:val="22"/>
              </w:rPr>
            </w:pPr>
          </w:p>
        </w:tc>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bCs/>
                <w:kern w:val="0"/>
                <w:sz w:val="22"/>
              </w:rPr>
            </w:pPr>
          </w:p>
        </w:tc>
        <w:tc>
          <w:tcPr>
            <w:tcW w:w="1064" w:type="dxa"/>
            <w:vMerge w:val="continue"/>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bCs/>
                <w:kern w:val="0"/>
                <w:sz w:val="22"/>
              </w:rPr>
            </w:pPr>
          </w:p>
        </w:tc>
        <w:tc>
          <w:tcPr>
            <w:tcW w:w="1220" w:type="dxa"/>
            <w:tcBorders>
              <w:top w:val="nil"/>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一般公共预算</w:t>
            </w:r>
          </w:p>
        </w:tc>
        <w:tc>
          <w:tcPr>
            <w:tcW w:w="1220" w:type="dxa"/>
            <w:tcBorders>
              <w:top w:val="nil"/>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政府性</w:t>
            </w:r>
          </w:p>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基金预算</w:t>
            </w:r>
          </w:p>
        </w:tc>
        <w:tc>
          <w:tcPr>
            <w:tcW w:w="1220" w:type="dxa"/>
            <w:tcBorders>
              <w:top w:val="nil"/>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国有资本经营预算</w:t>
            </w:r>
          </w:p>
        </w:tc>
        <w:tc>
          <w:tcPr>
            <w:tcW w:w="1220" w:type="dxa"/>
            <w:tcBorders>
              <w:top w:val="nil"/>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一般公共预算</w:t>
            </w:r>
          </w:p>
        </w:tc>
        <w:tc>
          <w:tcPr>
            <w:tcW w:w="1220" w:type="dxa"/>
            <w:tcBorders>
              <w:top w:val="nil"/>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政府性</w:t>
            </w:r>
          </w:p>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基金预算</w:t>
            </w:r>
          </w:p>
        </w:tc>
        <w:tc>
          <w:tcPr>
            <w:tcW w:w="1220" w:type="dxa"/>
            <w:tcBorders>
              <w:top w:val="nil"/>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2"/>
              </w:rPr>
            </w:pPr>
            <w:r>
              <w:rPr>
                <w:rFonts w:hint="default" w:ascii="TimesNewRoman" w:hAnsi="TimesNewRoman" w:cs="TimesNewRoman"/>
                <w:b/>
                <w:bCs/>
                <w:kern w:val="0"/>
                <w:sz w:val="22"/>
              </w:rPr>
              <w:t>国有资本经营预算</w:t>
            </w:r>
          </w:p>
        </w:tc>
        <w:tc>
          <w:tcPr>
            <w:tcW w:w="1020" w:type="dxa"/>
            <w:vMerge w:val="continue"/>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bCs/>
                <w:kern w:val="0"/>
                <w:sz w:val="22"/>
              </w:rPr>
            </w:pPr>
          </w:p>
        </w:tc>
        <w:tc>
          <w:tcPr>
            <w:tcW w:w="880" w:type="dxa"/>
            <w:vMerge w:val="continue"/>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b/>
                <w:bCs/>
                <w:kern w:val="0"/>
                <w:sz w:val="22"/>
              </w:rPr>
            </w:pPr>
          </w:p>
        </w:tc>
      </w:tr>
      <w:tr>
        <w:tblPrEx>
          <w:tblCellMar>
            <w:top w:w="0" w:type="dxa"/>
            <w:left w:w="108" w:type="dxa"/>
            <w:bottom w:w="0" w:type="dxa"/>
            <w:right w:w="108" w:type="dxa"/>
          </w:tblCellMar>
        </w:tblPrEx>
        <w:trPr>
          <w:trHeight w:val="1215" w:hRule="atLeast"/>
        </w:trPr>
        <w:tc>
          <w:tcPr>
            <w:tcW w:w="96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eastAsia="仿宋_GB2312" w:cs="TimesNewRoman"/>
                <w:kern w:val="0"/>
                <w:sz w:val="22"/>
                <w:lang w:val="en-US" w:eastAsia="zh-CN"/>
              </w:rPr>
            </w:pPr>
            <w:r>
              <w:rPr>
                <w:rFonts w:hint="eastAsia" w:ascii="TimesNewRoman" w:hAnsi="TimesNewRoman" w:cs="TimesNewRoman"/>
                <w:kern w:val="0"/>
                <w:sz w:val="22"/>
                <w:lang w:val="en-US" w:eastAsia="zh-CN"/>
              </w:rPr>
              <w:t>31</w:t>
            </w:r>
          </w:p>
        </w:tc>
        <w:tc>
          <w:tcPr>
            <w:tcW w:w="167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eastAsia" w:ascii="TimesNewRoman" w:hAnsi="TimesNewRoman" w:cs="TimesNewRoman"/>
                <w:kern w:val="0"/>
                <w:sz w:val="22"/>
                <w:lang w:val="en-US" w:eastAsia="zh-CN"/>
              </w:rPr>
              <w:t>民主监督经费</w:t>
            </w:r>
          </w:p>
        </w:tc>
        <w:tc>
          <w:tcPr>
            <w:tcW w:w="121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中国致公党安庆市委员会</w:t>
            </w:r>
          </w:p>
        </w:tc>
        <w:tc>
          <w:tcPr>
            <w:tcW w:w="106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cs="TimesNewRoman"/>
                <w:b w:val="0"/>
                <w:bCs w:val="0"/>
                <w:kern w:val="0"/>
                <w:sz w:val="22"/>
              </w:rPr>
            </w:pPr>
            <w:r>
              <w:rPr>
                <w:rFonts w:hint="eastAsia" w:ascii="TimesNewRoman" w:hAnsi="TimesNewRoman" w:cs="TimesNewRoman"/>
                <w:b w:val="0"/>
                <w:bCs w:val="0"/>
                <w:kern w:val="0"/>
                <w:sz w:val="22"/>
                <w:lang w:val="en-US" w:eastAsia="zh-CN"/>
              </w:rPr>
              <w:t>5.00</w:t>
            </w:r>
          </w:p>
        </w:tc>
        <w:tc>
          <w:tcPr>
            <w:tcW w:w="122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cs="TimesNewRoman"/>
                <w:b w:val="0"/>
                <w:bCs w:val="0"/>
                <w:kern w:val="0"/>
                <w:sz w:val="22"/>
              </w:rPr>
            </w:pPr>
            <w:r>
              <w:rPr>
                <w:rFonts w:hint="eastAsia" w:ascii="TimesNewRoman" w:hAnsi="TimesNewRoman" w:cs="TimesNewRoman"/>
                <w:b w:val="0"/>
                <w:bCs w:val="0"/>
                <w:kern w:val="0"/>
                <w:sz w:val="22"/>
                <w:lang w:val="en-US" w:eastAsia="zh-CN"/>
              </w:rPr>
              <w:t>5.00</w:t>
            </w:r>
          </w:p>
        </w:tc>
        <w:tc>
          <w:tcPr>
            <w:tcW w:w="122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122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122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122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122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10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8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r>
      <w:tr>
        <w:tblPrEx>
          <w:tblCellMar>
            <w:top w:w="0" w:type="dxa"/>
            <w:left w:w="108" w:type="dxa"/>
            <w:bottom w:w="0" w:type="dxa"/>
            <w:right w:w="108" w:type="dxa"/>
          </w:tblCellMar>
        </w:tblPrEx>
        <w:trPr>
          <w:trHeight w:val="360" w:hRule="atLeast"/>
        </w:trPr>
        <w:tc>
          <w:tcPr>
            <w:tcW w:w="96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eastAsia="仿宋_GB2312" w:cs="TimesNewRoman"/>
                <w:kern w:val="0"/>
                <w:sz w:val="22"/>
                <w:lang w:val="en-US" w:eastAsia="zh-CN"/>
              </w:rPr>
            </w:pPr>
            <w:r>
              <w:rPr>
                <w:rFonts w:hint="eastAsia" w:ascii="TimesNewRoman" w:hAnsi="TimesNewRoman" w:cs="TimesNewRoman"/>
                <w:kern w:val="0"/>
                <w:sz w:val="22"/>
                <w:lang w:val="en-US" w:eastAsia="zh-CN"/>
              </w:rPr>
              <w:t>31</w:t>
            </w:r>
          </w:p>
        </w:tc>
        <w:tc>
          <w:tcPr>
            <w:tcW w:w="167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eastAsia" w:ascii="TimesNewRoman" w:hAnsi="TimesNewRoman" w:cs="TimesNewRoman"/>
                <w:kern w:val="0"/>
                <w:sz w:val="22"/>
                <w:lang w:val="en-US" w:eastAsia="zh-CN"/>
              </w:rPr>
              <w:t>参政议政经费</w:t>
            </w:r>
          </w:p>
        </w:tc>
        <w:tc>
          <w:tcPr>
            <w:tcW w:w="121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imesNewRoman" w:hAnsi="TimesNewRoman" w:cs="TimesNewRoman"/>
                <w:kern w:val="0"/>
                <w:sz w:val="22"/>
                <w:lang w:val="en-US" w:eastAsia="zh-CN"/>
              </w:rPr>
            </w:pPr>
            <w:r>
              <w:rPr>
                <w:rFonts w:hint="default" w:ascii="TimesNewRoman" w:hAnsi="TimesNewRoman" w:cs="TimesNewRoman"/>
                <w:kern w:val="0"/>
                <w:sz w:val="22"/>
                <w:lang w:val="en-US" w:eastAsia="zh-CN"/>
              </w:rPr>
              <w:t>中国致公党安庆市委员会</w:t>
            </w:r>
          </w:p>
        </w:tc>
        <w:tc>
          <w:tcPr>
            <w:tcW w:w="106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cs="TimesNewRoman"/>
                <w:b w:val="0"/>
                <w:bCs w:val="0"/>
                <w:kern w:val="0"/>
                <w:sz w:val="22"/>
              </w:rPr>
            </w:pPr>
            <w:r>
              <w:rPr>
                <w:rFonts w:hint="eastAsia" w:ascii="TimesNewRoman" w:hAnsi="TimesNewRoman" w:cs="TimesNewRoman"/>
                <w:b w:val="0"/>
                <w:bCs w:val="0"/>
                <w:kern w:val="0"/>
                <w:sz w:val="22"/>
                <w:lang w:val="en-US" w:eastAsia="zh-CN"/>
              </w:rPr>
              <w:t>7.90</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cs="TimesNewRoman"/>
                <w:b w:val="0"/>
                <w:bCs w:val="0"/>
                <w:kern w:val="0"/>
                <w:sz w:val="22"/>
              </w:rPr>
            </w:pPr>
            <w:r>
              <w:rPr>
                <w:rFonts w:hint="eastAsia" w:ascii="TimesNewRoman" w:hAnsi="TimesNewRoman" w:cs="TimesNewRoman"/>
                <w:b w:val="0"/>
                <w:bCs w:val="0"/>
                <w:kern w:val="0"/>
                <w:sz w:val="22"/>
                <w:lang w:val="en-US" w:eastAsia="zh-CN"/>
              </w:rPr>
              <w:t>7.90</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10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c>
          <w:tcPr>
            <w:tcW w:w="8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TimesNewRoman" w:hAnsi="TimesNewRoman" w:cs="TimesNewRoman"/>
                <w:b/>
                <w:bCs/>
                <w:kern w:val="0"/>
                <w:sz w:val="22"/>
              </w:rPr>
            </w:pPr>
            <w:r>
              <w:rPr>
                <w:rFonts w:hint="default" w:ascii="TimesNewRoman" w:hAnsi="TimesNewRoman" w:cs="TimesNewRoman"/>
                <w:b/>
                <w:bCs/>
                <w:kern w:val="0"/>
                <w:sz w:val="22"/>
              </w:rPr>
              <w:t>　</w:t>
            </w:r>
          </w:p>
        </w:tc>
      </w:tr>
      <w:tr>
        <w:tblPrEx>
          <w:tblCellMar>
            <w:top w:w="0" w:type="dxa"/>
            <w:left w:w="108" w:type="dxa"/>
            <w:bottom w:w="0" w:type="dxa"/>
            <w:right w:w="108" w:type="dxa"/>
          </w:tblCellMar>
        </w:tblPrEx>
        <w:trPr>
          <w:trHeight w:val="1448" w:hRule="atLeast"/>
        </w:trPr>
        <w:tc>
          <w:tcPr>
            <w:tcW w:w="96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cs="TimesNewRoman"/>
                <w:kern w:val="0"/>
                <w:sz w:val="22"/>
                <w:lang w:val="en-US" w:eastAsia="zh-CN"/>
              </w:rPr>
            </w:pPr>
            <w:r>
              <w:rPr>
                <w:rFonts w:hint="eastAsia" w:ascii="TimesNewRoman" w:hAnsi="TimesNewRoman" w:cs="TimesNewRoman"/>
                <w:kern w:val="0"/>
                <w:sz w:val="22"/>
                <w:lang w:val="en-US" w:eastAsia="zh-CN"/>
              </w:rPr>
              <w:t>31</w:t>
            </w:r>
          </w:p>
        </w:tc>
        <w:tc>
          <w:tcPr>
            <w:tcW w:w="167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eastAsia" w:ascii="TimesNewRoman" w:hAnsi="TimesNewRoman" w:cs="TimesNewRoman"/>
                <w:kern w:val="0"/>
                <w:sz w:val="22"/>
                <w:lang w:val="en-US" w:eastAsia="zh-CN"/>
              </w:rPr>
              <w:t>长江（安庆段）生态环境保护监督专项经费</w:t>
            </w:r>
          </w:p>
        </w:tc>
        <w:tc>
          <w:tcPr>
            <w:tcW w:w="121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中国致公党安庆市委员会</w:t>
            </w:r>
          </w:p>
        </w:tc>
        <w:tc>
          <w:tcPr>
            <w:tcW w:w="106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cs="TimesNewRoman"/>
                <w:kern w:val="0"/>
                <w:sz w:val="22"/>
                <w:lang w:val="en-US" w:eastAsia="zh-CN"/>
              </w:rPr>
            </w:pPr>
            <w:r>
              <w:rPr>
                <w:rFonts w:hint="eastAsia" w:ascii="TimesNewRoman" w:hAnsi="TimesNewRoman" w:cs="TimesNewRoman"/>
                <w:kern w:val="0"/>
                <w:sz w:val="22"/>
                <w:lang w:val="en-US" w:eastAsia="zh-CN"/>
              </w:rPr>
              <w:t>5.00</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cs="TimesNewRoman"/>
                <w:kern w:val="0"/>
                <w:sz w:val="22"/>
                <w:lang w:val="en-US" w:eastAsia="zh-CN"/>
              </w:rPr>
            </w:pPr>
            <w:r>
              <w:rPr>
                <w:rFonts w:hint="eastAsia" w:ascii="TimesNewRoman" w:hAnsi="TimesNewRoman" w:cs="TimesNewRoman"/>
                <w:kern w:val="0"/>
                <w:sz w:val="22"/>
                <w:lang w:val="en-US" w:eastAsia="zh-CN"/>
              </w:rPr>
              <w:t>5.00</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c>
          <w:tcPr>
            <w:tcW w:w="10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c>
          <w:tcPr>
            <w:tcW w:w="8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r>
      <w:tr>
        <w:tblPrEx>
          <w:tblCellMar>
            <w:top w:w="0" w:type="dxa"/>
            <w:left w:w="108" w:type="dxa"/>
            <w:bottom w:w="0" w:type="dxa"/>
            <w:right w:w="108" w:type="dxa"/>
          </w:tblCellMar>
        </w:tblPrEx>
        <w:trPr>
          <w:trHeight w:val="360" w:hRule="atLeast"/>
        </w:trPr>
        <w:tc>
          <w:tcPr>
            <w:tcW w:w="3856" w:type="dxa"/>
            <w:gridSpan w:val="3"/>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cs="TimesNewRoman"/>
                <w:kern w:val="0"/>
                <w:sz w:val="22"/>
                <w:lang w:val="en-US" w:eastAsia="zh-CN"/>
              </w:rPr>
            </w:pPr>
            <w:r>
              <w:rPr>
                <w:rFonts w:hint="eastAsia" w:ascii="TimesNewRoman" w:hAnsi="TimesNewRoman" w:cs="TimesNewRoman"/>
                <w:b/>
                <w:bCs/>
                <w:kern w:val="0"/>
                <w:sz w:val="22"/>
                <w:lang w:eastAsia="zh-CN"/>
              </w:rPr>
              <w:t>合</w:t>
            </w:r>
            <w:r>
              <w:rPr>
                <w:rFonts w:hint="eastAsia" w:ascii="TimesNewRoman" w:hAnsi="TimesNewRoman" w:cs="TimesNewRoman"/>
                <w:b/>
                <w:bCs/>
                <w:kern w:val="0"/>
                <w:sz w:val="22"/>
                <w:lang w:val="en-US" w:eastAsia="zh-CN"/>
              </w:rPr>
              <w:t xml:space="preserve"> </w:t>
            </w:r>
            <w:r>
              <w:rPr>
                <w:rFonts w:hint="default" w:ascii="TimesNewRoman" w:hAnsi="TimesNewRoman" w:cs="TimesNewRoman"/>
                <w:b/>
                <w:bCs/>
                <w:kern w:val="0"/>
                <w:sz w:val="22"/>
              </w:rPr>
              <w:t>计</w:t>
            </w:r>
          </w:p>
        </w:tc>
        <w:tc>
          <w:tcPr>
            <w:tcW w:w="106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cs="TimesNewRoman"/>
                <w:b/>
                <w:bCs/>
                <w:kern w:val="0"/>
                <w:sz w:val="22"/>
                <w:lang w:val="en-US" w:eastAsia="zh-CN"/>
              </w:rPr>
            </w:pPr>
            <w:r>
              <w:rPr>
                <w:rFonts w:hint="eastAsia" w:ascii="TimesNewRoman" w:hAnsi="TimesNewRoman" w:cs="TimesNewRoman"/>
                <w:b/>
                <w:bCs/>
                <w:kern w:val="0"/>
                <w:sz w:val="22"/>
                <w:lang w:val="en-US" w:eastAsia="zh-CN"/>
              </w:rPr>
              <w:t>17.90</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NewRoman" w:hAnsi="TimesNewRoman" w:cs="TimesNewRoman"/>
                <w:b/>
                <w:bCs/>
                <w:kern w:val="0"/>
                <w:sz w:val="22"/>
                <w:lang w:val="en-US" w:eastAsia="zh-CN"/>
              </w:rPr>
            </w:pPr>
            <w:r>
              <w:rPr>
                <w:rFonts w:hint="eastAsia" w:ascii="TimesNewRoman" w:hAnsi="TimesNewRoman" w:cs="TimesNewRoman"/>
                <w:b/>
                <w:bCs/>
                <w:kern w:val="0"/>
                <w:sz w:val="22"/>
                <w:lang w:val="en-US" w:eastAsia="zh-CN"/>
              </w:rPr>
              <w:t>17.90</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c>
          <w:tcPr>
            <w:tcW w:w="12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c>
          <w:tcPr>
            <w:tcW w:w="10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c>
          <w:tcPr>
            <w:tcW w:w="88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pPr>
            <w:r>
              <w:rPr>
                <w:rFonts w:hint="default" w:ascii="TimesNewRoman" w:hAnsi="TimesNewRoman" w:cs="TimesNewRoman"/>
                <w:kern w:val="0"/>
                <w:sz w:val="22"/>
                <w:lang w:val="en-US" w:eastAsia="zh-CN"/>
              </w:rPr>
              <w:t>　</w:t>
            </w:r>
          </w:p>
        </w:tc>
      </w:tr>
    </w:tbl>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kern w:val="0"/>
          <w:sz w:val="22"/>
          <w:lang w:val="en-US" w:eastAsia="zh-CN"/>
        </w:rPr>
        <w:sectPr>
          <w:pgSz w:w="16838" w:h="11906" w:orient="landscape"/>
          <w:pgMar w:top="1477" w:right="1440" w:bottom="1797" w:left="1440" w:header="850" w:footer="992" w:gutter="0"/>
          <w:pgBorders>
            <w:top w:val="none" w:sz="0" w:space="0"/>
            <w:left w:val="none" w:sz="0" w:space="0"/>
            <w:bottom w:val="none" w:sz="0" w:space="0"/>
            <w:right w:val="none" w:sz="0" w:space="0"/>
          </w:pgBorders>
          <w:pgNumType w:fmt="numberInDash"/>
          <w:cols w:space="720" w:num="1"/>
          <w:rtlGutter w:val="0"/>
          <w:docGrid w:type="linesAndChars" w:linePitch="437" w:charSpace="2457"/>
        </w:sectPr>
      </w:pPr>
      <w:r>
        <w:rPr>
          <w:rFonts w:hint="default" w:ascii="TimesNewRoman" w:hAnsi="TimesNewRoman" w:cs="TimesNewRoman"/>
          <w:kern w:val="0"/>
          <w:sz w:val="22"/>
          <w:lang w:val="en-US" w:eastAsia="zh-CN"/>
        </w:rPr>
        <w:t>备注：本表金额转换成万元保留2位小数时，因四舍五入可能存在尾差。</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NewRoman" w:hAnsi="TimesNewRoman" w:cs="TimesNewRoman"/>
          <w:sz w:val="20"/>
          <w:szCs w:val="20"/>
        </w:rPr>
      </w:pPr>
      <w:r>
        <w:rPr>
          <w:rFonts w:hint="eastAsia" w:ascii="TimesNewRoman" w:hAnsi="TimesNewRoman" w:cs="TimesNewRoman"/>
          <w:kern w:val="0"/>
          <w:sz w:val="22"/>
          <w:lang w:val="en-US" w:eastAsia="zh-CN"/>
        </w:rPr>
        <w:t xml:space="preserve">                                                 </w:t>
      </w:r>
      <w:r>
        <w:rPr>
          <w:rFonts w:hint="default" w:ascii="TimesNewRoman" w:hAnsi="TimesNewRoman" w:cs="TimesNewRoman"/>
          <w:kern w:val="0"/>
          <w:sz w:val="22"/>
          <w:lang w:val="en-US" w:eastAsia="zh-CN"/>
        </w:rPr>
        <w:t xml:space="preserve">    部门公开表</w:t>
      </w:r>
      <w:r>
        <w:rPr>
          <w:rFonts w:hint="default" w:ascii="TimesNewRoman" w:hAnsi="TimesNewRoman" w:cs="TimesNewRoman"/>
          <w:sz w:val="20"/>
          <w:szCs w:val="20"/>
        </w:rPr>
        <w:t>10</w:t>
      </w:r>
    </w:p>
    <w:tbl>
      <w:tblPr>
        <w:tblStyle w:val="4"/>
        <w:tblW w:w="8879" w:type="dxa"/>
        <w:jc w:val="center"/>
        <w:tblLayout w:type="fixed"/>
        <w:tblCellMar>
          <w:top w:w="0" w:type="dxa"/>
          <w:left w:w="108" w:type="dxa"/>
          <w:bottom w:w="0" w:type="dxa"/>
          <w:right w:w="108" w:type="dxa"/>
        </w:tblCellMar>
      </w:tblPr>
      <w:tblGrid>
        <w:gridCol w:w="1200"/>
        <w:gridCol w:w="1150"/>
        <w:gridCol w:w="900"/>
        <w:gridCol w:w="1034"/>
        <w:gridCol w:w="1147"/>
        <w:gridCol w:w="1140"/>
        <w:gridCol w:w="1120"/>
        <w:gridCol w:w="1188"/>
      </w:tblGrid>
      <w:tr>
        <w:tblPrEx>
          <w:tblCellMar>
            <w:top w:w="0" w:type="dxa"/>
            <w:left w:w="108" w:type="dxa"/>
            <w:bottom w:w="0" w:type="dxa"/>
            <w:right w:w="108" w:type="dxa"/>
          </w:tblCellMar>
        </w:tblPrEx>
        <w:trPr>
          <w:trHeight w:val="525" w:hRule="atLeast"/>
          <w:jc w:val="center"/>
        </w:trPr>
        <w:tc>
          <w:tcPr>
            <w:tcW w:w="8879" w:type="dxa"/>
            <w:gridSpan w:val="8"/>
            <w:tcBorders>
              <w:top w:val="nil"/>
              <w:left w:val="nil"/>
              <w:bottom w:val="nil"/>
              <w:right w:val="nil"/>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eastAsia="华文中宋" w:cs="TimesNewRoman"/>
                <w:b/>
                <w:bCs/>
                <w:kern w:val="0"/>
                <w:szCs w:val="32"/>
              </w:rPr>
            </w:pPr>
            <w:r>
              <w:rPr>
                <w:rFonts w:hint="eastAsia" w:ascii="TimesNewRoman" w:hAnsi="TimesNewRoman" w:eastAsia="华文中宋" w:cs="TimesNewRoman"/>
                <w:b/>
                <w:bCs/>
                <w:kern w:val="0"/>
                <w:szCs w:val="32"/>
                <w:lang w:eastAsia="zh-CN"/>
              </w:rPr>
              <w:t>中国致公党安庆市委员会</w:t>
            </w:r>
            <w:r>
              <w:rPr>
                <w:rFonts w:hint="default" w:ascii="TimesNewRoman" w:hAnsi="TimesNewRoman" w:eastAsia="华文中宋" w:cs="TimesNewRoman"/>
                <w:b/>
                <w:bCs/>
                <w:kern w:val="0"/>
                <w:szCs w:val="32"/>
              </w:rPr>
              <w:t>202</w:t>
            </w:r>
            <w:r>
              <w:rPr>
                <w:rFonts w:hint="eastAsia" w:ascii="TimesNewRoman" w:hAnsi="TimesNewRoman" w:eastAsia="华文中宋" w:cs="TimesNewRoman"/>
                <w:b/>
                <w:bCs/>
                <w:kern w:val="0"/>
                <w:szCs w:val="32"/>
                <w:lang w:val="en-US" w:eastAsia="zh-CN"/>
              </w:rPr>
              <w:t>3</w:t>
            </w:r>
            <w:r>
              <w:rPr>
                <w:rFonts w:hint="default" w:ascii="TimesNewRoman" w:hAnsi="TimesNewRoman" w:eastAsia="华文中宋" w:cs="TimesNewRoman"/>
                <w:b/>
                <w:bCs/>
                <w:kern w:val="0"/>
                <w:szCs w:val="32"/>
              </w:rPr>
              <w:t>年政府采购支出表</w:t>
            </w:r>
          </w:p>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Cs w:val="32"/>
              </w:rPr>
            </w:pPr>
            <w:r>
              <w:rPr>
                <w:rFonts w:hint="default" w:ascii="TimesNewRoman" w:hAnsi="TimesNewRoman" w:cs="TimesNewRoman"/>
                <w:kern w:val="0"/>
                <w:sz w:val="20"/>
              </w:rPr>
              <w:t xml:space="preserve">                                                                      单位：万元</w:t>
            </w:r>
          </w:p>
        </w:tc>
      </w:tr>
      <w:tr>
        <w:tblPrEx>
          <w:tblCellMar>
            <w:top w:w="0" w:type="dxa"/>
            <w:left w:w="108" w:type="dxa"/>
            <w:bottom w:w="0" w:type="dxa"/>
            <w:right w:w="108" w:type="dxa"/>
          </w:tblCellMar>
        </w:tblPrEx>
        <w:trPr>
          <w:trHeight w:val="872" w:hRule="atLeast"/>
          <w:jc w:val="center"/>
        </w:trPr>
        <w:tc>
          <w:tcPr>
            <w:tcW w:w="1200"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项目名称</w:t>
            </w:r>
          </w:p>
        </w:tc>
        <w:tc>
          <w:tcPr>
            <w:tcW w:w="1150" w:type="dxa"/>
            <w:tcBorders>
              <w:top w:val="single" w:color="auto" w:sz="4" w:space="0"/>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政府采购品目</w:t>
            </w:r>
          </w:p>
        </w:tc>
        <w:tc>
          <w:tcPr>
            <w:tcW w:w="900" w:type="dxa"/>
            <w:tcBorders>
              <w:top w:val="single" w:color="auto" w:sz="4" w:space="0"/>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合计</w:t>
            </w:r>
          </w:p>
        </w:tc>
        <w:tc>
          <w:tcPr>
            <w:tcW w:w="1034" w:type="dxa"/>
            <w:tcBorders>
              <w:top w:val="single" w:color="auto" w:sz="4" w:space="0"/>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一般公共预算</w:t>
            </w:r>
          </w:p>
        </w:tc>
        <w:tc>
          <w:tcPr>
            <w:tcW w:w="1147" w:type="dxa"/>
            <w:tcBorders>
              <w:top w:val="single" w:color="auto" w:sz="4" w:space="0"/>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政府性</w:t>
            </w:r>
          </w:p>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基金预算</w:t>
            </w:r>
          </w:p>
        </w:tc>
        <w:tc>
          <w:tcPr>
            <w:tcW w:w="1140" w:type="dxa"/>
            <w:tcBorders>
              <w:top w:val="single" w:color="auto" w:sz="4" w:space="0"/>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国有资本经营预算</w:t>
            </w:r>
          </w:p>
        </w:tc>
        <w:tc>
          <w:tcPr>
            <w:tcW w:w="1120" w:type="dxa"/>
            <w:tcBorders>
              <w:top w:val="single" w:color="auto" w:sz="4" w:space="0"/>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财政专户管理资金</w:t>
            </w:r>
          </w:p>
        </w:tc>
        <w:tc>
          <w:tcPr>
            <w:tcW w:w="1188" w:type="dxa"/>
            <w:tcBorders>
              <w:top w:val="single" w:color="auto" w:sz="4" w:space="0"/>
              <w:left w:val="nil"/>
              <w:bottom w:val="nil"/>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b/>
                <w:bCs/>
                <w:kern w:val="0"/>
                <w:sz w:val="20"/>
              </w:rPr>
            </w:pPr>
            <w:r>
              <w:rPr>
                <w:rFonts w:hint="default" w:ascii="TimesNewRoman" w:hAnsi="TimesNewRoman" w:cs="TimesNewRoman"/>
                <w:b/>
                <w:bCs/>
                <w:kern w:val="0"/>
                <w:sz w:val="20"/>
              </w:rPr>
              <w:t>单位资金</w:t>
            </w:r>
          </w:p>
        </w:tc>
      </w:tr>
      <w:tr>
        <w:tblPrEx>
          <w:tblCellMar>
            <w:top w:w="0" w:type="dxa"/>
            <w:left w:w="108" w:type="dxa"/>
            <w:bottom w:w="0" w:type="dxa"/>
            <w:right w:w="108" w:type="dxa"/>
          </w:tblCellMar>
        </w:tblPrEx>
        <w:trPr>
          <w:trHeight w:val="540"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15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0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0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4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4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2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8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540" w:hRule="atLeast"/>
          <w:jc w:val="center"/>
        </w:trPr>
        <w:tc>
          <w:tcPr>
            <w:tcW w:w="120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15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03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4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4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8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540" w:hRule="atLeast"/>
          <w:jc w:val="center"/>
        </w:trPr>
        <w:tc>
          <w:tcPr>
            <w:tcW w:w="120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115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9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c>
          <w:tcPr>
            <w:tcW w:w="103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c>
          <w:tcPr>
            <w:tcW w:w="114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c>
          <w:tcPr>
            <w:tcW w:w="114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c>
          <w:tcPr>
            <w:tcW w:w="11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c>
          <w:tcPr>
            <w:tcW w:w="118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r>
      <w:tr>
        <w:tblPrEx>
          <w:tblCellMar>
            <w:top w:w="0" w:type="dxa"/>
            <w:left w:w="108" w:type="dxa"/>
            <w:bottom w:w="0" w:type="dxa"/>
            <w:right w:w="108" w:type="dxa"/>
          </w:tblCellMar>
        </w:tblPrEx>
        <w:trPr>
          <w:trHeight w:val="540" w:hRule="atLeast"/>
          <w:jc w:val="center"/>
        </w:trPr>
        <w:tc>
          <w:tcPr>
            <w:tcW w:w="120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115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p>
        </w:tc>
        <w:tc>
          <w:tcPr>
            <w:tcW w:w="9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c>
          <w:tcPr>
            <w:tcW w:w="103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c>
          <w:tcPr>
            <w:tcW w:w="114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c>
          <w:tcPr>
            <w:tcW w:w="114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c>
          <w:tcPr>
            <w:tcW w:w="11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c>
          <w:tcPr>
            <w:tcW w:w="118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p>
        </w:tc>
      </w:tr>
      <w:tr>
        <w:tblPrEx>
          <w:tblCellMar>
            <w:top w:w="0" w:type="dxa"/>
            <w:left w:w="108" w:type="dxa"/>
            <w:bottom w:w="0" w:type="dxa"/>
            <w:right w:w="108" w:type="dxa"/>
          </w:tblCellMar>
        </w:tblPrEx>
        <w:trPr>
          <w:trHeight w:val="540" w:hRule="atLeast"/>
          <w:jc w:val="center"/>
        </w:trPr>
        <w:tc>
          <w:tcPr>
            <w:tcW w:w="120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15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03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4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4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8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540" w:hRule="atLeast"/>
          <w:jc w:val="center"/>
        </w:trPr>
        <w:tc>
          <w:tcPr>
            <w:tcW w:w="120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15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03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4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4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8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540" w:hRule="atLeast"/>
          <w:jc w:val="center"/>
        </w:trPr>
        <w:tc>
          <w:tcPr>
            <w:tcW w:w="120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115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left"/>
              <w:rPr>
                <w:rFonts w:hint="default" w:ascii="TimesNewRoman" w:hAnsi="TimesNewRoman" w:cs="TimesNewRoman"/>
                <w:kern w:val="0"/>
                <w:sz w:val="20"/>
              </w:rPr>
            </w:pPr>
            <w:r>
              <w:rPr>
                <w:rFonts w:hint="default" w:ascii="TimesNewRoman" w:hAnsi="TimesNewRoman" w:cs="TimesNewRoman"/>
                <w:kern w:val="0"/>
                <w:sz w:val="20"/>
              </w:rPr>
              <w:t>　</w:t>
            </w:r>
          </w:p>
        </w:tc>
        <w:tc>
          <w:tcPr>
            <w:tcW w:w="9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03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4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4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8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r>
        <w:tblPrEx>
          <w:tblCellMar>
            <w:top w:w="0" w:type="dxa"/>
            <w:left w:w="108" w:type="dxa"/>
            <w:bottom w:w="0" w:type="dxa"/>
            <w:right w:w="108" w:type="dxa"/>
          </w:tblCellMar>
        </w:tblPrEx>
        <w:trPr>
          <w:trHeight w:val="540" w:hRule="atLeast"/>
          <w:jc w:val="center"/>
        </w:trPr>
        <w:tc>
          <w:tcPr>
            <w:tcW w:w="2350" w:type="dxa"/>
            <w:gridSpan w:val="2"/>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0"/>
              </w:rPr>
            </w:pPr>
            <w:r>
              <w:rPr>
                <w:rFonts w:hint="eastAsia" w:ascii="TimesNewRoman" w:hAnsi="TimesNewRoman" w:cs="TimesNewRoman"/>
                <w:b/>
                <w:bCs/>
                <w:kern w:val="0"/>
                <w:sz w:val="22"/>
                <w:lang w:eastAsia="zh-CN"/>
              </w:rPr>
              <w:t>合</w:t>
            </w:r>
            <w:r>
              <w:rPr>
                <w:rFonts w:hint="default" w:ascii="TimesNewRoman" w:hAnsi="TimesNewRoman" w:cs="TimesNewRoman"/>
                <w:b/>
                <w:sz w:val="20"/>
              </w:rPr>
              <w:t xml:space="preserve"> 计</w:t>
            </w:r>
          </w:p>
        </w:tc>
        <w:tc>
          <w:tcPr>
            <w:tcW w:w="90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034"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47"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4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20"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c>
          <w:tcPr>
            <w:tcW w:w="1188" w:type="dxa"/>
            <w:tcBorders>
              <w:top w:val="nil"/>
              <w:left w:val="nil"/>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spacing w:line="560" w:lineRule="exact"/>
              <w:jc w:val="right"/>
              <w:rPr>
                <w:rFonts w:hint="default" w:ascii="TimesNewRoman" w:hAnsi="TimesNewRoman" w:cs="TimesNewRoman"/>
                <w:kern w:val="0"/>
                <w:sz w:val="20"/>
              </w:rPr>
            </w:pPr>
            <w:r>
              <w:rPr>
                <w:rFonts w:hint="default" w:ascii="TimesNewRoman" w:hAnsi="TimesNewRoman" w:cs="TimesNewRoman"/>
                <w:kern w:val="0"/>
                <w:sz w:val="20"/>
              </w:rPr>
              <w:t>　</w:t>
            </w:r>
          </w:p>
        </w:tc>
      </w:tr>
    </w:tbl>
    <w:p>
      <w:pPr>
        <w:keepNext w:val="0"/>
        <w:keepLines w:val="0"/>
        <w:pageBreakBefore w:val="0"/>
        <w:kinsoku/>
        <w:overflowPunct/>
        <w:topLinePunct w:val="0"/>
        <w:autoSpaceDE/>
        <w:autoSpaceDN/>
        <w:bidi w:val="0"/>
        <w:spacing w:line="560" w:lineRule="exact"/>
        <w:rPr>
          <w:rFonts w:hint="default" w:ascii="TimesNewRoman" w:hAnsi="TimesNewRoman" w:cs="TimesNewRoman"/>
          <w:kern w:val="0"/>
          <w:sz w:val="22"/>
        </w:rPr>
      </w:pPr>
      <w:r>
        <w:rPr>
          <w:rFonts w:hint="default" w:ascii="TimesNewRoman" w:hAnsi="TimesNewRoman" w:cs="TimesNewRoman"/>
          <w:kern w:val="0"/>
          <w:sz w:val="22"/>
        </w:rPr>
        <w:t>注：中国致公党安庆市委员会没有使用一般公共预算拨款、政府性基金预算拨款、国有资本经营预算拨款、财政专户管理资金和单位资金安排的政府采购支出，故本表无数据。</w:t>
      </w: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keepNext w:val="0"/>
        <w:keepLines w:val="0"/>
        <w:pageBreakBefore w:val="0"/>
        <w:kinsoku/>
        <w:overflowPunct/>
        <w:topLinePunct w:val="0"/>
        <w:autoSpaceDE/>
        <w:autoSpaceDN/>
        <w:bidi w:val="0"/>
        <w:spacing w:line="560" w:lineRule="exact"/>
        <w:rPr>
          <w:rFonts w:hint="default" w:ascii="TimesNewRoman" w:hAnsi="TimesNewRoman" w:cs="TimesNewRoman"/>
        </w:rPr>
      </w:pPr>
    </w:p>
    <w:p>
      <w:pPr>
        <w:pStyle w:val="3"/>
        <w:keepNext w:val="0"/>
        <w:keepLines w:val="0"/>
        <w:pageBreakBefore w:val="0"/>
        <w:kinsoku/>
        <w:wordWrap w:val="0"/>
        <w:overflowPunct/>
        <w:topLinePunct w:val="0"/>
        <w:autoSpaceDE/>
        <w:autoSpaceDN/>
        <w:bidi w:val="0"/>
        <w:adjustRightInd w:val="0"/>
        <w:snapToGrid w:val="0"/>
        <w:spacing w:line="560" w:lineRule="exact"/>
        <w:jc w:val="right"/>
        <w:rPr>
          <w:rFonts w:hint="default" w:ascii="TimesNewRoman" w:hAnsi="TimesNewRoman" w:cs="TimesNewRoman"/>
          <w:sz w:val="20"/>
          <w:szCs w:val="20"/>
        </w:rPr>
        <w:sectPr>
          <w:pgSz w:w="11906" w:h="16838"/>
          <w:pgMar w:top="1440" w:right="1797" w:bottom="1440" w:left="1797" w:header="850" w:footer="992" w:gutter="0"/>
          <w:pgBorders>
            <w:top w:val="none" w:sz="0" w:space="0"/>
            <w:left w:val="none" w:sz="0" w:space="0"/>
            <w:bottom w:val="none" w:sz="0" w:space="0"/>
            <w:right w:val="none" w:sz="0" w:space="0"/>
          </w:pgBorders>
          <w:pgNumType w:fmt="numberInDash"/>
          <w:cols w:space="720" w:num="1"/>
          <w:rtlGutter w:val="0"/>
          <w:docGrid w:type="linesAndChars" w:linePitch="437" w:charSpace="2555"/>
        </w:sectPr>
      </w:pPr>
    </w:p>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0"/>
        </w:rPr>
      </w:pPr>
      <w:r>
        <w:rPr>
          <w:rFonts w:hint="eastAsia" w:ascii="TimesNewRoman" w:hAnsi="TimesNewRoman" w:cs="TimesNewRoman"/>
          <w:sz w:val="20"/>
          <w:szCs w:val="20"/>
          <w:lang w:val="en-US" w:eastAsia="zh-CN"/>
        </w:rPr>
        <w:t xml:space="preserve">                                                                                                        </w:t>
      </w:r>
      <w:r>
        <w:rPr>
          <w:rFonts w:hint="eastAsia" w:ascii="TimesNewRoman" w:hAnsi="TimesNewRoman" w:cs="TimesNewRoman"/>
          <w:kern w:val="0"/>
          <w:sz w:val="20"/>
          <w:lang w:val="en-US" w:eastAsia="zh-CN"/>
        </w:rPr>
        <w:t xml:space="preserve">  </w:t>
      </w:r>
      <w:r>
        <w:rPr>
          <w:rFonts w:hint="default" w:ascii="TimesNewRoman" w:hAnsi="TimesNewRoman" w:cs="TimesNewRoman"/>
          <w:kern w:val="0"/>
          <w:sz w:val="20"/>
        </w:rPr>
        <w:t>部门公开表11</w:t>
      </w:r>
    </w:p>
    <w:tbl>
      <w:tblPr>
        <w:tblStyle w:val="4"/>
        <w:tblW w:w="13743" w:type="dxa"/>
        <w:jc w:val="center"/>
        <w:tblLayout w:type="fixed"/>
        <w:tblCellMar>
          <w:top w:w="0" w:type="dxa"/>
          <w:left w:w="108" w:type="dxa"/>
          <w:bottom w:w="0" w:type="dxa"/>
          <w:right w:w="108" w:type="dxa"/>
        </w:tblCellMar>
      </w:tblPr>
      <w:tblGrid>
        <w:gridCol w:w="2073"/>
        <w:gridCol w:w="1953"/>
        <w:gridCol w:w="1784"/>
        <w:gridCol w:w="1933"/>
        <w:gridCol w:w="2483"/>
        <w:gridCol w:w="1684"/>
        <w:gridCol w:w="1816"/>
        <w:gridCol w:w="17"/>
      </w:tblGrid>
      <w:tr>
        <w:tblPrEx>
          <w:tblCellMar>
            <w:top w:w="0" w:type="dxa"/>
            <w:left w:w="108" w:type="dxa"/>
            <w:bottom w:w="0" w:type="dxa"/>
            <w:right w:w="108" w:type="dxa"/>
          </w:tblCellMar>
        </w:tblPrEx>
        <w:trPr>
          <w:gridAfter w:val="1"/>
          <w:wAfter w:w="17" w:type="dxa"/>
          <w:trHeight w:val="525" w:hRule="atLeast"/>
          <w:jc w:val="center"/>
        </w:trPr>
        <w:tc>
          <w:tcPr>
            <w:tcW w:w="13726" w:type="dxa"/>
            <w:gridSpan w:val="7"/>
            <w:tcBorders>
              <w:top w:val="nil"/>
              <w:left w:val="nil"/>
              <w:bottom w:val="nil"/>
              <w:right w:val="nil"/>
            </w:tcBorders>
            <w:noWrap w:val="0"/>
            <w:vAlign w:val="center"/>
          </w:tcPr>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0"/>
              </w:rPr>
            </w:pPr>
            <w:r>
              <w:rPr>
                <w:rFonts w:hint="eastAsia" w:ascii="TimesNewRoman" w:hAnsi="TimesNewRoman" w:eastAsia="华文中宋" w:cs="TimesNewRoman"/>
                <w:b/>
                <w:bCs/>
                <w:kern w:val="0"/>
                <w:szCs w:val="32"/>
                <w:lang w:eastAsia="zh-CN"/>
              </w:rPr>
              <w:t>中国致公党安庆市委员会</w:t>
            </w:r>
            <w:r>
              <w:rPr>
                <w:rFonts w:hint="default" w:ascii="TimesNewRoman" w:hAnsi="TimesNewRoman" w:eastAsia="华文中宋" w:cs="TimesNewRoman"/>
                <w:b/>
                <w:bCs/>
                <w:kern w:val="0"/>
                <w:szCs w:val="32"/>
              </w:rPr>
              <w:t>202</w:t>
            </w:r>
            <w:r>
              <w:rPr>
                <w:rFonts w:hint="eastAsia" w:ascii="TimesNewRoman" w:hAnsi="TimesNewRoman" w:eastAsia="华文中宋" w:cs="TimesNewRoman"/>
                <w:b/>
                <w:bCs/>
                <w:kern w:val="0"/>
                <w:szCs w:val="32"/>
                <w:lang w:val="en-US" w:eastAsia="zh-CN"/>
              </w:rPr>
              <w:t>3</w:t>
            </w:r>
            <w:r>
              <w:rPr>
                <w:rFonts w:hint="default" w:ascii="TimesNewRoman" w:hAnsi="TimesNewRoman" w:eastAsia="华文中宋" w:cs="TimesNewRoman"/>
                <w:b/>
                <w:bCs/>
                <w:kern w:val="0"/>
                <w:szCs w:val="32"/>
              </w:rPr>
              <w:t>年政府</w:t>
            </w:r>
            <w:r>
              <w:rPr>
                <w:rFonts w:hint="eastAsia" w:ascii="TimesNewRoman" w:hAnsi="TimesNewRoman" w:eastAsia="华文中宋" w:cs="TimesNewRoman"/>
                <w:b/>
                <w:bCs/>
                <w:kern w:val="0"/>
                <w:szCs w:val="32"/>
                <w:lang w:val="en-US" w:eastAsia="zh-CN"/>
              </w:rPr>
              <w:t>购买服务</w:t>
            </w:r>
            <w:r>
              <w:rPr>
                <w:rFonts w:hint="default" w:ascii="TimesNewRoman" w:hAnsi="TimesNewRoman" w:eastAsia="华文中宋" w:cs="TimesNewRoman"/>
                <w:b/>
                <w:bCs/>
                <w:kern w:val="0"/>
                <w:szCs w:val="32"/>
              </w:rPr>
              <w:t>支出表</w:t>
            </w:r>
          </w:p>
          <w:p>
            <w:pPr>
              <w:keepNext w:val="0"/>
              <w:keepLines w:val="0"/>
              <w:pageBreakBefore w:val="0"/>
              <w:widowControl/>
              <w:kinsoku/>
              <w:overflowPunct/>
              <w:topLinePunct w:val="0"/>
              <w:autoSpaceDE/>
              <w:autoSpaceDN/>
              <w:bidi w:val="0"/>
              <w:spacing w:line="560" w:lineRule="exact"/>
              <w:jc w:val="center"/>
              <w:rPr>
                <w:rFonts w:hint="default" w:ascii="TimesNewRoman" w:hAnsi="TimesNewRoman" w:cs="TimesNewRoman"/>
                <w:kern w:val="0"/>
                <w:sz w:val="20"/>
              </w:rPr>
            </w:pPr>
            <w:r>
              <w:rPr>
                <w:rFonts w:hint="default" w:ascii="TimesNewRoman" w:hAnsi="TimesNewRoman" w:cs="TimesNewRoman"/>
                <w:kern w:val="0"/>
                <w:sz w:val="20"/>
              </w:rPr>
              <w:t xml:space="preserve">                                                                                                                    单位：万元</w:t>
            </w:r>
          </w:p>
        </w:tc>
      </w:tr>
      <w:tr>
        <w:tblPrEx>
          <w:tblCellMar>
            <w:top w:w="15" w:type="dxa"/>
            <w:left w:w="15" w:type="dxa"/>
            <w:bottom w:w="15" w:type="dxa"/>
            <w:right w:w="15" w:type="dxa"/>
          </w:tblCellMar>
        </w:tblPrEx>
        <w:trPr>
          <w:trHeight w:val="720" w:hRule="atLeast"/>
          <w:jc w:val="center"/>
        </w:trPr>
        <w:tc>
          <w:tcPr>
            <w:tcW w:w="20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textAlignment w:val="center"/>
              <w:rPr>
                <w:rFonts w:hint="default" w:ascii="TimesNewRoman" w:hAnsi="TimesNewRoman" w:cs="TimesNewRoman"/>
                <w:b/>
                <w:sz w:val="20"/>
              </w:rPr>
            </w:pPr>
            <w:r>
              <w:rPr>
                <w:rFonts w:hint="default" w:ascii="TimesNewRoman" w:hAnsi="TimesNewRoman" w:cs="TimesNewRoman"/>
                <w:b/>
                <w:kern w:val="0"/>
                <w:sz w:val="20"/>
                <w:lang w:bidi="ar"/>
              </w:rPr>
              <w:t>项目名称</w:t>
            </w:r>
          </w:p>
        </w:tc>
        <w:tc>
          <w:tcPr>
            <w:tcW w:w="19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textAlignment w:val="center"/>
              <w:rPr>
                <w:rFonts w:hint="default" w:ascii="TimesNewRoman" w:hAnsi="TimesNewRoman" w:cs="TimesNewRoman"/>
                <w:b/>
                <w:sz w:val="20"/>
              </w:rPr>
            </w:pPr>
            <w:r>
              <w:rPr>
                <w:rFonts w:hint="default" w:ascii="TimesNewRoman" w:hAnsi="TimesNewRoman" w:cs="TimesNewRoman"/>
                <w:b/>
                <w:kern w:val="0"/>
                <w:sz w:val="20"/>
                <w:lang w:bidi="ar"/>
              </w:rPr>
              <w:t>一级目录名称</w:t>
            </w:r>
          </w:p>
        </w:tc>
        <w:tc>
          <w:tcPr>
            <w:tcW w:w="17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textAlignment w:val="center"/>
              <w:rPr>
                <w:rFonts w:hint="default" w:ascii="TimesNewRoman" w:hAnsi="TimesNewRoman" w:cs="TimesNewRoman"/>
                <w:b/>
                <w:sz w:val="20"/>
              </w:rPr>
            </w:pPr>
            <w:r>
              <w:rPr>
                <w:rFonts w:hint="default" w:ascii="TimesNewRoman" w:hAnsi="TimesNewRoman" w:cs="TimesNewRoman"/>
                <w:b/>
                <w:kern w:val="0"/>
                <w:sz w:val="20"/>
                <w:lang w:bidi="ar"/>
              </w:rPr>
              <w:t>二级目录名称</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textAlignment w:val="center"/>
              <w:rPr>
                <w:rFonts w:hint="default" w:ascii="TimesNewRoman" w:hAnsi="TimesNewRoman" w:cs="TimesNewRoman"/>
                <w:b/>
                <w:sz w:val="20"/>
              </w:rPr>
            </w:pPr>
            <w:r>
              <w:rPr>
                <w:rFonts w:hint="default" w:ascii="TimesNewRoman" w:hAnsi="TimesNewRoman" w:cs="TimesNewRoman"/>
                <w:b/>
                <w:kern w:val="0"/>
                <w:sz w:val="20"/>
                <w:lang w:bidi="ar"/>
              </w:rPr>
              <w:t>三级目录名称</w:t>
            </w:r>
          </w:p>
        </w:tc>
        <w:tc>
          <w:tcPr>
            <w:tcW w:w="2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textAlignment w:val="center"/>
              <w:rPr>
                <w:rFonts w:hint="default" w:ascii="TimesNewRoman" w:hAnsi="TimesNewRoman" w:cs="TimesNewRoman"/>
                <w:b/>
                <w:sz w:val="20"/>
              </w:rPr>
            </w:pPr>
            <w:r>
              <w:rPr>
                <w:rFonts w:hint="default" w:ascii="TimesNewRoman" w:hAnsi="TimesNewRoman" w:cs="TimesNewRoman"/>
                <w:b/>
                <w:kern w:val="0"/>
                <w:sz w:val="20"/>
                <w:lang w:bidi="ar"/>
              </w:rPr>
              <w:t>政府购买服务内容</w:t>
            </w:r>
          </w:p>
        </w:tc>
        <w:tc>
          <w:tcPr>
            <w:tcW w:w="1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textAlignment w:val="center"/>
              <w:rPr>
                <w:rFonts w:hint="default" w:ascii="TimesNewRoman" w:hAnsi="TimesNewRoman" w:cs="TimesNewRoman"/>
                <w:b/>
                <w:sz w:val="20"/>
              </w:rPr>
            </w:pPr>
            <w:r>
              <w:rPr>
                <w:rFonts w:hint="default" w:ascii="TimesNewRoman" w:hAnsi="TimesNewRoman" w:cs="TimesNewRoman"/>
                <w:b/>
                <w:kern w:val="0"/>
                <w:sz w:val="20"/>
                <w:lang w:bidi="ar"/>
              </w:rPr>
              <w:t>购买数量</w:t>
            </w:r>
          </w:p>
        </w:tc>
        <w:tc>
          <w:tcPr>
            <w:tcW w:w="183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overflowPunct/>
              <w:topLinePunct w:val="0"/>
              <w:autoSpaceDE/>
              <w:autoSpaceDN/>
              <w:bidi w:val="0"/>
              <w:spacing w:line="560" w:lineRule="exact"/>
              <w:jc w:val="center"/>
              <w:textAlignment w:val="center"/>
              <w:rPr>
                <w:rFonts w:hint="default" w:ascii="TimesNewRoman" w:hAnsi="TimesNewRoman" w:cs="TimesNewRoman"/>
                <w:b/>
                <w:sz w:val="20"/>
              </w:rPr>
            </w:pPr>
            <w:r>
              <w:rPr>
                <w:rFonts w:hint="default" w:ascii="TimesNewRoman" w:hAnsi="TimesNewRoman" w:cs="TimesNewRoman"/>
                <w:b/>
                <w:kern w:val="0"/>
                <w:sz w:val="20"/>
                <w:lang w:bidi="ar"/>
              </w:rPr>
              <w:t>购买金额</w:t>
            </w:r>
          </w:p>
        </w:tc>
      </w:tr>
      <w:tr>
        <w:tblPrEx>
          <w:tblCellMar>
            <w:top w:w="15" w:type="dxa"/>
            <w:left w:w="15" w:type="dxa"/>
            <w:bottom w:w="15" w:type="dxa"/>
            <w:right w:w="15" w:type="dxa"/>
          </w:tblCellMar>
        </w:tblPrEx>
        <w:trPr>
          <w:trHeight w:val="555" w:hRule="atLeast"/>
          <w:jc w:val="center"/>
        </w:trPr>
        <w:tc>
          <w:tcPr>
            <w:tcW w:w="20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spacing w:line="560" w:lineRule="exact"/>
              <w:jc w:val="center"/>
              <w:rPr>
                <w:rFonts w:hint="default" w:ascii="TimesNewRoman" w:hAnsi="TimesNewRoman" w:cs="TimesNewRoman"/>
                <w:b/>
                <w:sz w:val="20"/>
              </w:rPr>
            </w:pPr>
          </w:p>
        </w:tc>
        <w:tc>
          <w:tcPr>
            <w:tcW w:w="19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spacing w:line="560" w:lineRule="exact"/>
              <w:jc w:val="left"/>
              <w:rPr>
                <w:rFonts w:hint="default" w:ascii="TimesNewRoman" w:hAnsi="TimesNewRoman" w:cs="TimesNewRoman"/>
                <w:sz w:val="20"/>
              </w:rPr>
            </w:pPr>
          </w:p>
        </w:tc>
        <w:tc>
          <w:tcPr>
            <w:tcW w:w="17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spacing w:line="560" w:lineRule="exact"/>
              <w:jc w:val="left"/>
              <w:rPr>
                <w:rFonts w:hint="default" w:ascii="TimesNewRoman" w:hAnsi="TimesNewRoman" w:cs="TimesNewRoman"/>
                <w:sz w:val="20"/>
              </w:rPr>
            </w:pP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spacing w:line="560" w:lineRule="exact"/>
              <w:jc w:val="left"/>
              <w:rPr>
                <w:rFonts w:hint="default" w:ascii="TimesNewRoman" w:hAnsi="TimesNewRoman" w:cs="TimesNewRoman"/>
                <w:sz w:val="20"/>
              </w:rPr>
            </w:pPr>
          </w:p>
        </w:tc>
        <w:tc>
          <w:tcPr>
            <w:tcW w:w="2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spacing w:line="560" w:lineRule="exact"/>
              <w:jc w:val="left"/>
              <w:rPr>
                <w:rFonts w:hint="default" w:ascii="TimesNewRoman" w:hAnsi="TimesNewRoman" w:cs="TimesNewRoman"/>
                <w:sz w:val="20"/>
              </w:rPr>
            </w:pPr>
          </w:p>
        </w:tc>
        <w:tc>
          <w:tcPr>
            <w:tcW w:w="16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spacing w:line="560" w:lineRule="exact"/>
              <w:jc w:val="right"/>
              <w:rPr>
                <w:rFonts w:hint="default" w:ascii="TimesNewRoman" w:hAnsi="TimesNewRoman" w:cs="TimesNewRoman"/>
                <w:sz w:val="20"/>
              </w:rPr>
            </w:pPr>
          </w:p>
        </w:tc>
        <w:tc>
          <w:tcPr>
            <w:tcW w:w="183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spacing w:line="560" w:lineRule="exact"/>
              <w:jc w:val="right"/>
              <w:rPr>
                <w:rFonts w:hint="default" w:ascii="TimesNewRoman" w:hAnsi="TimesNewRoman" w:cs="TimesNewRoman"/>
                <w:sz w:val="20"/>
              </w:rPr>
            </w:pPr>
          </w:p>
        </w:tc>
      </w:tr>
      <w:tr>
        <w:tblPrEx>
          <w:tblCellMar>
            <w:top w:w="15" w:type="dxa"/>
            <w:left w:w="15" w:type="dxa"/>
            <w:bottom w:w="15" w:type="dxa"/>
            <w:right w:w="15" w:type="dxa"/>
          </w:tblCellMar>
        </w:tblPrEx>
        <w:trPr>
          <w:trHeight w:val="555" w:hRule="atLeast"/>
          <w:jc w:val="center"/>
        </w:trPr>
        <w:tc>
          <w:tcPr>
            <w:tcW w:w="20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spacing w:line="560" w:lineRule="exact"/>
              <w:jc w:val="center"/>
              <w:rPr>
                <w:rFonts w:hint="default" w:ascii="TimesNewRoman" w:hAnsi="TimesNewRoman" w:cs="TimesNewRoman"/>
                <w:b/>
                <w:sz w:val="20"/>
              </w:rPr>
            </w:pPr>
          </w:p>
        </w:tc>
        <w:tc>
          <w:tcPr>
            <w:tcW w:w="195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1784"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193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24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1684"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1833" w:type="dxa"/>
            <w:gridSpan w:val="2"/>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r>
      <w:tr>
        <w:tblPrEx>
          <w:tblCellMar>
            <w:top w:w="15" w:type="dxa"/>
            <w:left w:w="15" w:type="dxa"/>
            <w:bottom w:w="15" w:type="dxa"/>
            <w:right w:w="15" w:type="dxa"/>
          </w:tblCellMar>
        </w:tblPrEx>
        <w:trPr>
          <w:trHeight w:val="555" w:hRule="atLeast"/>
          <w:jc w:val="center"/>
        </w:trPr>
        <w:tc>
          <w:tcPr>
            <w:tcW w:w="20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spacing w:line="560" w:lineRule="exact"/>
              <w:jc w:val="center"/>
              <w:rPr>
                <w:rFonts w:hint="default" w:ascii="TimesNewRoman" w:hAnsi="TimesNewRoman" w:cs="TimesNewRoman"/>
                <w:b/>
                <w:sz w:val="20"/>
              </w:rPr>
            </w:pPr>
          </w:p>
        </w:tc>
        <w:tc>
          <w:tcPr>
            <w:tcW w:w="195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1784"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193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24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1684"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1833" w:type="dxa"/>
            <w:gridSpan w:val="2"/>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r>
      <w:tr>
        <w:tblPrEx>
          <w:tblCellMar>
            <w:top w:w="15" w:type="dxa"/>
            <w:left w:w="15" w:type="dxa"/>
            <w:bottom w:w="15" w:type="dxa"/>
            <w:right w:w="15" w:type="dxa"/>
          </w:tblCellMar>
        </w:tblPrEx>
        <w:trPr>
          <w:trHeight w:val="555" w:hRule="atLeast"/>
          <w:jc w:val="center"/>
        </w:trPr>
        <w:tc>
          <w:tcPr>
            <w:tcW w:w="20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overflowPunct/>
              <w:topLinePunct w:val="0"/>
              <w:autoSpaceDE/>
              <w:autoSpaceDN/>
              <w:bidi w:val="0"/>
              <w:spacing w:line="560" w:lineRule="exact"/>
              <w:jc w:val="center"/>
              <w:rPr>
                <w:rFonts w:hint="default" w:ascii="TimesNewRoman" w:hAnsi="TimesNewRoman" w:cs="TimesNewRoman"/>
                <w:b/>
                <w:sz w:val="20"/>
              </w:rPr>
            </w:pPr>
            <w:r>
              <w:rPr>
                <w:rFonts w:hint="default" w:ascii="TimesNewRoman" w:hAnsi="TimesNewRoman" w:cs="TimesNewRoman"/>
                <w:b/>
                <w:sz w:val="20"/>
              </w:rPr>
              <w:t>合</w:t>
            </w:r>
            <w:r>
              <w:rPr>
                <w:rFonts w:hint="eastAsia" w:ascii="TimesNewRoman" w:hAnsi="TimesNewRoman" w:cs="TimesNewRoman"/>
                <w:b/>
                <w:sz w:val="20"/>
                <w:lang w:val="en-US" w:eastAsia="zh-CN"/>
              </w:rPr>
              <w:t xml:space="preserve"> </w:t>
            </w:r>
            <w:r>
              <w:rPr>
                <w:rFonts w:hint="default" w:ascii="TimesNewRoman" w:hAnsi="TimesNewRoman" w:cs="TimesNewRoman"/>
                <w:b/>
                <w:sz w:val="20"/>
              </w:rPr>
              <w:t>计</w:t>
            </w:r>
          </w:p>
        </w:tc>
        <w:tc>
          <w:tcPr>
            <w:tcW w:w="195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1784"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193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2483"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1684"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c>
          <w:tcPr>
            <w:tcW w:w="1833" w:type="dxa"/>
            <w:gridSpan w:val="2"/>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kinsoku/>
              <w:overflowPunct/>
              <w:topLinePunct w:val="0"/>
              <w:autoSpaceDE/>
              <w:autoSpaceDN/>
              <w:bidi w:val="0"/>
              <w:spacing w:line="560" w:lineRule="exact"/>
              <w:rPr>
                <w:rFonts w:hint="default" w:ascii="TimesNewRoman" w:hAnsi="TimesNewRoman" w:cs="TimesNewRoman"/>
                <w:sz w:val="18"/>
                <w:szCs w:val="18"/>
              </w:rPr>
            </w:pPr>
          </w:p>
        </w:tc>
      </w:tr>
    </w:tbl>
    <w:p>
      <w:pPr>
        <w:keepNext w:val="0"/>
        <w:keepLines w:val="0"/>
        <w:pageBreakBefore w:val="0"/>
        <w:kinsoku/>
        <w:overflowPunct/>
        <w:topLinePunct w:val="0"/>
        <w:autoSpaceDE/>
        <w:autoSpaceDN/>
        <w:bidi w:val="0"/>
        <w:spacing w:line="560" w:lineRule="exact"/>
        <w:rPr>
          <w:rFonts w:hint="default" w:ascii="TimesNewRoman" w:hAnsi="TimesNewRoman" w:eastAsia="黑体" w:cs="TimesNewRoman"/>
          <w:bCs/>
          <w:sz w:val="36"/>
          <w:szCs w:val="36"/>
        </w:rPr>
        <w:sectPr>
          <w:pgSz w:w="16838" w:h="11906" w:orient="landscape"/>
          <w:pgMar w:top="1797" w:right="1440" w:bottom="1797" w:left="1440" w:header="850" w:footer="992" w:gutter="0"/>
          <w:pgBorders>
            <w:top w:val="none" w:sz="0" w:space="0"/>
            <w:left w:val="none" w:sz="0" w:space="0"/>
            <w:bottom w:val="none" w:sz="0" w:space="0"/>
            <w:right w:val="none" w:sz="0" w:space="0"/>
          </w:pgBorders>
          <w:pgNumType w:fmt="numberInDash"/>
          <w:cols w:space="720" w:num="1"/>
          <w:rtlGutter w:val="0"/>
          <w:docGrid w:type="linesAndChars" w:linePitch="437" w:charSpace="2555"/>
        </w:sectPr>
      </w:pPr>
      <w:r>
        <w:rPr>
          <w:rFonts w:hint="default" w:ascii="TimesNewRoman" w:hAnsi="TimesNewRoman" w:cs="TimesNewRoman"/>
          <w:kern w:val="0"/>
          <w:sz w:val="22"/>
        </w:rPr>
        <w:t>注：中国致公党安庆市委员会没有安排政府购买服务支出，故本表无数据。</w:t>
      </w:r>
    </w:p>
    <w:p>
      <w:pPr>
        <w:pStyle w:val="3"/>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bCs/>
          <w:sz w:val="36"/>
          <w:szCs w:val="36"/>
        </w:rPr>
      </w:pPr>
      <w:r>
        <w:rPr>
          <w:rFonts w:hint="default" w:ascii="TimesNewRoman" w:hAnsi="TimesNewRoman" w:eastAsia="黑体" w:cs="TimesNewRoman"/>
          <w:bCs/>
          <w:sz w:val="36"/>
          <w:szCs w:val="36"/>
        </w:rPr>
        <w:t>第三部分 202</w:t>
      </w:r>
      <w:r>
        <w:rPr>
          <w:rFonts w:hint="eastAsia" w:ascii="TimesNewRoman" w:hAnsi="TimesNewRoman" w:eastAsia="黑体" w:cs="TimesNewRoman"/>
          <w:bCs/>
          <w:sz w:val="36"/>
          <w:szCs w:val="36"/>
          <w:lang w:val="en-US" w:eastAsia="zh-CN"/>
        </w:rPr>
        <w:t>3</w:t>
      </w:r>
      <w:r>
        <w:rPr>
          <w:rFonts w:hint="default" w:ascii="TimesNewRoman" w:hAnsi="TimesNewRoman" w:eastAsia="黑体" w:cs="TimesNewRoman"/>
          <w:bCs/>
          <w:sz w:val="36"/>
          <w:szCs w:val="36"/>
        </w:rPr>
        <w:t>年部门预算情况说明</w:t>
      </w:r>
    </w:p>
    <w:p>
      <w:pPr>
        <w:pStyle w:val="3"/>
        <w:keepNext w:val="0"/>
        <w:keepLines w:val="0"/>
        <w:pageBreakBefore w:val="0"/>
        <w:kinsoku/>
        <w:overflowPunct/>
        <w:topLinePunct w:val="0"/>
        <w:autoSpaceDE/>
        <w:autoSpaceDN/>
        <w:bidi w:val="0"/>
        <w:adjustRightInd w:val="0"/>
        <w:snapToGrid w:val="0"/>
        <w:spacing w:line="560" w:lineRule="exact"/>
        <w:rPr>
          <w:rFonts w:hint="default" w:ascii="TimesNewRoman" w:hAnsi="TimesNewRoman" w:eastAsia="黑体" w:cs="TimesNewRoman"/>
          <w:bCs/>
          <w:sz w:val="32"/>
          <w:szCs w:val="32"/>
        </w:rPr>
      </w:pP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黑体" w:cs="TimesNewRoman"/>
          <w:sz w:val="32"/>
          <w:szCs w:val="32"/>
        </w:rPr>
      </w:pPr>
      <w:r>
        <w:rPr>
          <w:rFonts w:hint="default" w:ascii="TimesNewRoman" w:hAnsi="TimesNewRoman" w:eastAsia="黑体" w:cs="TimesNewRoman"/>
          <w:sz w:val="32"/>
          <w:szCs w:val="32"/>
        </w:rPr>
        <w:t>一、关于202</w:t>
      </w:r>
      <w:r>
        <w:rPr>
          <w:rFonts w:hint="eastAsia" w:ascii="TimesNewRoman" w:hAnsi="TimesNewRoman" w:eastAsia="黑体" w:cs="TimesNewRoman"/>
          <w:sz w:val="32"/>
          <w:szCs w:val="32"/>
          <w:lang w:val="en-US" w:eastAsia="zh-CN"/>
        </w:rPr>
        <w:t>3</w:t>
      </w:r>
      <w:r>
        <w:rPr>
          <w:rFonts w:hint="default" w:ascii="TimesNewRoman" w:hAnsi="TimesNewRoman" w:eastAsia="黑体" w:cs="TimesNewRoman"/>
          <w:sz w:val="32"/>
          <w:szCs w:val="32"/>
        </w:rPr>
        <w:t>年收支总表的说明</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仿宋_GB2312" w:cs="TimesNewRoman"/>
          <w:sz w:val="32"/>
          <w:szCs w:val="32"/>
        </w:rPr>
      </w:pPr>
      <w:r>
        <w:rPr>
          <w:rFonts w:hint="default" w:ascii="TimesNewRoman" w:hAnsi="TimesNewRoman" w:eastAsia="仿宋_GB2312" w:cs="TimesNewRoman"/>
          <w:sz w:val="32"/>
          <w:szCs w:val="32"/>
        </w:rPr>
        <w:t>按照综合预算的原则，</w:t>
      </w:r>
      <w:r>
        <w:rPr>
          <w:rFonts w:hint="eastAsia" w:ascii="TimesNewRoman" w:hAnsi="TimesNewRoman" w:eastAsia="仿宋_GB2312" w:cs="TimesNewRoman"/>
          <w:sz w:val="32"/>
          <w:szCs w:val="32"/>
          <w:lang w:eastAsia="zh-CN"/>
        </w:rPr>
        <w:t>中国致公党安庆市委员会</w:t>
      </w:r>
      <w:r>
        <w:rPr>
          <w:rFonts w:hint="default" w:ascii="TimesNewRoman" w:hAnsi="TimesNewRoman" w:eastAsia="仿宋_GB2312" w:cs="TimesNewRoman"/>
          <w:sz w:val="32"/>
          <w:szCs w:val="32"/>
        </w:rPr>
        <w:t>所有收入和支出均纳入部门预算管理。</w:t>
      </w:r>
      <w:r>
        <w:rPr>
          <w:rFonts w:hint="eastAsia" w:ascii="TimesNewRoman" w:hAnsi="TimesNewRoman" w:eastAsia="仿宋_GB2312" w:cs="TimesNewRoman"/>
          <w:sz w:val="32"/>
          <w:szCs w:val="32"/>
          <w:lang w:eastAsia="zh-CN"/>
        </w:rPr>
        <w:t>中国致公党安庆市委员会</w:t>
      </w:r>
      <w:r>
        <w:rPr>
          <w:rFonts w:hint="default" w:ascii="TimesNewRoman" w:hAnsi="TimesNewRoman" w:eastAsia="仿宋_GB2312" w:cs="TimesNewRoman"/>
          <w:sz w:val="32"/>
          <w:szCs w:val="32"/>
        </w:rPr>
        <w:t>202</w:t>
      </w:r>
      <w:r>
        <w:rPr>
          <w:rFonts w:hint="eastAsia" w:ascii="TimesNewRoman" w:hAnsi="TimesNewRoman" w:eastAsia="仿宋_GB2312" w:cs="TimesNewRoman"/>
          <w:sz w:val="32"/>
          <w:szCs w:val="32"/>
          <w:lang w:val="en-US" w:eastAsia="zh-CN"/>
        </w:rPr>
        <w:t>3</w:t>
      </w:r>
      <w:r>
        <w:rPr>
          <w:rFonts w:hint="default" w:ascii="TimesNewRoman" w:hAnsi="TimesNewRoman" w:eastAsia="仿宋_GB2312" w:cs="TimesNewRoman"/>
          <w:sz w:val="32"/>
          <w:szCs w:val="32"/>
        </w:rPr>
        <w:t>年收支总预算</w:t>
      </w:r>
      <w:r>
        <w:rPr>
          <w:rFonts w:hint="eastAsia" w:ascii="TimesNewRoman" w:hAnsi="TimesNewRoman" w:eastAsia="仿宋_GB2312" w:cs="TimesNewRoman"/>
          <w:sz w:val="32"/>
          <w:szCs w:val="32"/>
          <w:lang w:val="en-US" w:eastAsia="zh-CN"/>
        </w:rPr>
        <w:t>58.42</w:t>
      </w:r>
      <w:r>
        <w:rPr>
          <w:rFonts w:hint="default" w:ascii="TimesNewRoman" w:hAnsi="TimesNewRoman" w:eastAsia="仿宋_GB2312" w:cs="TimesNewRoman"/>
          <w:sz w:val="32"/>
          <w:szCs w:val="32"/>
        </w:rPr>
        <w:t>万元，收入</w:t>
      </w:r>
      <w:r>
        <w:rPr>
          <w:rFonts w:hint="eastAsia" w:ascii="TimesNewRoman" w:hAnsi="TimesNewRoman" w:eastAsia="仿宋_GB2312" w:cs="TimesNewRoman"/>
          <w:sz w:val="32"/>
          <w:szCs w:val="32"/>
          <w:lang w:val="en-US" w:eastAsia="zh-CN"/>
        </w:rPr>
        <w:t>全部是</w:t>
      </w:r>
      <w:r>
        <w:rPr>
          <w:rFonts w:hint="default" w:ascii="TimesNewRoman" w:hAnsi="TimesNewRoman" w:eastAsia="仿宋_GB2312" w:cs="TimesNewRoman"/>
          <w:sz w:val="32"/>
          <w:szCs w:val="32"/>
        </w:rPr>
        <w:t>一般公共预算拨款收入，支出包括：一般公共服务支出、社会保障和就业支出、卫生健康支出、住房保障支出。</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黑体" w:cs="TimesNewRoman"/>
          <w:sz w:val="32"/>
          <w:szCs w:val="32"/>
        </w:rPr>
      </w:pPr>
      <w:r>
        <w:rPr>
          <w:rFonts w:hint="default" w:ascii="TimesNewRoman" w:hAnsi="TimesNewRoman" w:eastAsia="黑体" w:cs="TimesNewRoman"/>
          <w:sz w:val="32"/>
          <w:szCs w:val="32"/>
        </w:rPr>
        <w:t>二、关于202</w:t>
      </w:r>
      <w:r>
        <w:rPr>
          <w:rFonts w:hint="eastAsia" w:ascii="TimesNewRoman" w:hAnsi="TimesNewRoman" w:eastAsia="黑体" w:cs="TimesNewRoman"/>
          <w:sz w:val="32"/>
          <w:szCs w:val="32"/>
          <w:lang w:val="en-US" w:eastAsia="zh-CN"/>
        </w:rPr>
        <w:t>3</w:t>
      </w:r>
      <w:r>
        <w:rPr>
          <w:rFonts w:hint="default" w:ascii="TimesNewRoman" w:hAnsi="TimesNewRoman" w:eastAsia="黑体" w:cs="TimesNewRoman"/>
          <w:sz w:val="32"/>
          <w:szCs w:val="32"/>
        </w:rPr>
        <w:t>年收入总表的说明</w:t>
      </w:r>
    </w:p>
    <w:p>
      <w:pPr>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cs="TimesNewRoman"/>
          <w:szCs w:val="32"/>
        </w:rPr>
      </w:pPr>
      <w:r>
        <w:rPr>
          <w:rFonts w:hint="eastAsia" w:ascii="TimesNewRoman" w:hAnsi="TimesNewRoman" w:cs="TimesNewRoman"/>
          <w:kern w:val="0"/>
          <w:szCs w:val="32"/>
          <w:lang w:eastAsia="zh-CN"/>
        </w:rPr>
        <w:t>中国致公党安庆市委员会</w:t>
      </w:r>
      <w:r>
        <w:rPr>
          <w:rFonts w:hint="default" w:ascii="TimesNewRoman" w:hAnsi="TimesNewRoman" w:cs="TimesNewRoman"/>
          <w:szCs w:val="32"/>
        </w:rPr>
        <w:t>202</w:t>
      </w:r>
      <w:r>
        <w:rPr>
          <w:rFonts w:hint="eastAsia" w:ascii="TimesNewRoman" w:hAnsi="TimesNewRoman" w:cs="TimesNewRoman"/>
          <w:szCs w:val="32"/>
          <w:lang w:val="en-US" w:eastAsia="zh-CN"/>
        </w:rPr>
        <w:t>3</w:t>
      </w:r>
      <w:r>
        <w:rPr>
          <w:rFonts w:hint="default" w:ascii="TimesNewRoman" w:hAnsi="TimesNewRoman" w:cs="TimesNewRoman"/>
          <w:szCs w:val="32"/>
        </w:rPr>
        <w:t>年收入预算</w:t>
      </w:r>
      <w:r>
        <w:rPr>
          <w:rFonts w:hint="eastAsia" w:ascii="TimesNewRoman" w:hAnsi="TimesNewRoman" w:cs="TimesNewRoman"/>
          <w:szCs w:val="32"/>
          <w:lang w:val="en-US" w:eastAsia="zh-CN"/>
        </w:rPr>
        <w:t>58.42</w:t>
      </w:r>
      <w:r>
        <w:rPr>
          <w:rFonts w:hint="default" w:ascii="TimesNewRoman" w:hAnsi="TimesNewRoman" w:cs="TimesNewRoman"/>
          <w:szCs w:val="32"/>
        </w:rPr>
        <w:t>万元，其中，本年收入</w:t>
      </w:r>
      <w:r>
        <w:rPr>
          <w:rFonts w:hint="eastAsia" w:ascii="TimesNewRoman" w:hAnsi="TimesNewRoman" w:cs="TimesNewRoman"/>
          <w:szCs w:val="32"/>
          <w:lang w:val="en-US" w:eastAsia="zh-CN"/>
        </w:rPr>
        <w:t>58.42</w:t>
      </w:r>
      <w:r>
        <w:rPr>
          <w:rFonts w:hint="default" w:ascii="TimesNewRoman" w:hAnsi="TimesNewRoman" w:cs="TimesNewRoman"/>
          <w:szCs w:val="32"/>
        </w:rPr>
        <w:t>万元，上年结转</w:t>
      </w:r>
      <w:r>
        <w:rPr>
          <w:rFonts w:hint="eastAsia" w:ascii="TimesNewRoman" w:hAnsi="TimesNewRoman" w:cs="TimesNewRoman"/>
          <w:szCs w:val="32"/>
          <w:lang w:eastAsia="zh-CN"/>
        </w:rPr>
        <w:t>收入</w:t>
      </w:r>
      <w:r>
        <w:rPr>
          <w:rFonts w:hint="eastAsia" w:ascii="TimesNewRoman" w:hAnsi="TimesNewRoman" w:cs="TimesNewRoman"/>
          <w:szCs w:val="32"/>
          <w:lang w:val="en-US" w:eastAsia="zh-CN"/>
        </w:rPr>
        <w:t>0</w:t>
      </w:r>
      <w:r>
        <w:rPr>
          <w:rFonts w:hint="default" w:ascii="TimesNewRoman" w:hAnsi="TimesNewRoman" w:cs="TimesNewRoman"/>
          <w:szCs w:val="32"/>
        </w:rPr>
        <w:t>万元。</w:t>
      </w:r>
    </w:p>
    <w:p>
      <w:pPr>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cs="TimesNewRoman"/>
          <w:szCs w:val="32"/>
        </w:rPr>
      </w:pPr>
      <w:r>
        <w:rPr>
          <w:rFonts w:hint="default" w:ascii="TimesNewRoman" w:hAnsi="TimesNewRoman" w:cs="TimesNewRoman"/>
          <w:szCs w:val="32"/>
        </w:rPr>
        <w:t>（一）本年收入</w:t>
      </w:r>
      <w:r>
        <w:rPr>
          <w:rFonts w:hint="eastAsia" w:ascii="TimesNewRoman" w:hAnsi="TimesNewRoman" w:cs="TimesNewRoman"/>
          <w:szCs w:val="32"/>
          <w:lang w:val="en-US" w:eastAsia="zh-CN"/>
        </w:rPr>
        <w:t>58.42</w:t>
      </w:r>
      <w:r>
        <w:rPr>
          <w:rFonts w:hint="default" w:ascii="TimesNewRoman" w:hAnsi="TimesNewRoman" w:cs="TimesNewRoman"/>
          <w:szCs w:val="32"/>
        </w:rPr>
        <w:t>万元，</w:t>
      </w:r>
      <w:r>
        <w:rPr>
          <w:rFonts w:hint="default" w:ascii="TimesNewRoman" w:hAnsi="TimesNewRoman" w:eastAsia="楷体_GB2312" w:cs="TimesNewRoman"/>
          <w:szCs w:val="32"/>
        </w:rPr>
        <w:t>收入全部为一般公共预算拨款收入</w:t>
      </w:r>
      <w:r>
        <w:rPr>
          <w:rFonts w:hint="eastAsia" w:ascii="TimesNewRoman" w:hAnsi="TimesNewRoman" w:eastAsia="楷体_GB2312" w:cs="TimesNewRoman"/>
          <w:szCs w:val="32"/>
          <w:lang w:val="en-US" w:eastAsia="zh-CN"/>
        </w:rPr>
        <w:t>58.42万元</w:t>
      </w:r>
      <w:r>
        <w:rPr>
          <w:rFonts w:hint="default" w:ascii="TimesNewRoman" w:hAnsi="TimesNewRoman" w:eastAsia="楷体_GB2312" w:cs="TimesNewRoman"/>
          <w:szCs w:val="32"/>
        </w:rPr>
        <w:t>，比202</w:t>
      </w:r>
      <w:r>
        <w:rPr>
          <w:rFonts w:hint="default" w:ascii="TimesNewRoman" w:hAnsi="TimesNewRoman" w:eastAsia="楷体_GB2312" w:cs="TimesNewRoman"/>
          <w:szCs w:val="32"/>
          <w:lang w:val="en"/>
        </w:rPr>
        <w:t>2</w:t>
      </w:r>
      <w:r>
        <w:rPr>
          <w:rFonts w:hint="default" w:ascii="TimesNewRoman" w:hAnsi="TimesNewRoman" w:eastAsia="楷体_GB2312" w:cs="TimesNewRoman"/>
          <w:szCs w:val="32"/>
        </w:rPr>
        <w:t>年预算增加</w:t>
      </w:r>
      <w:r>
        <w:rPr>
          <w:rFonts w:hint="eastAsia" w:ascii="TimesNewRoman" w:hAnsi="TimesNewRoman" w:eastAsia="楷体_GB2312" w:cs="TimesNewRoman"/>
          <w:szCs w:val="32"/>
          <w:lang w:val="en-US" w:eastAsia="zh-CN"/>
        </w:rPr>
        <w:t>8.19</w:t>
      </w:r>
      <w:r>
        <w:rPr>
          <w:rFonts w:hint="default" w:ascii="TimesNewRoman" w:hAnsi="TimesNewRoman" w:eastAsia="楷体_GB2312" w:cs="TimesNewRoman"/>
          <w:szCs w:val="32"/>
        </w:rPr>
        <w:t>万元，增长</w:t>
      </w:r>
      <w:r>
        <w:rPr>
          <w:rFonts w:hint="eastAsia" w:ascii="TimesNewRoman" w:hAnsi="TimesNewRoman" w:eastAsia="楷体_GB2312" w:cs="TimesNewRoman"/>
          <w:szCs w:val="32"/>
          <w:lang w:val="en-US" w:eastAsia="zh-CN"/>
        </w:rPr>
        <w:t>16.3</w:t>
      </w:r>
      <w:r>
        <w:rPr>
          <w:rFonts w:hint="default" w:ascii="TimesNewRoman" w:hAnsi="TimesNewRoman" w:eastAsia="楷体_GB2312" w:cs="TimesNewRoman"/>
          <w:szCs w:val="32"/>
        </w:rPr>
        <w:t>%，增长原因主要是</w:t>
      </w:r>
      <w:r>
        <w:rPr>
          <w:rFonts w:hint="eastAsia" w:ascii="TimesNewRoman" w:hAnsi="TimesNewRoman" w:eastAsia="楷体_GB2312" w:cs="TimesNewRoman"/>
          <w:szCs w:val="32"/>
          <w:lang w:eastAsia="zh-CN"/>
        </w:rPr>
        <w:t>绩效在预算体现</w:t>
      </w:r>
      <w:r>
        <w:rPr>
          <w:rFonts w:hint="default" w:ascii="TimesNewRoman" w:hAnsi="TimesNewRoman" w:cs="TimesNewRoman"/>
          <w:szCs w:val="32"/>
        </w:rPr>
        <w:t>。</w:t>
      </w:r>
    </w:p>
    <w:p>
      <w:pPr>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楷体_GB2312" w:cs="TimesNewRoman"/>
          <w:szCs w:val="32"/>
        </w:rPr>
      </w:pPr>
      <w:r>
        <w:rPr>
          <w:rFonts w:hint="default" w:ascii="TimesNewRoman" w:hAnsi="TimesNewRoman" w:cs="TimesNewRoman"/>
          <w:szCs w:val="32"/>
        </w:rPr>
        <w:t>（二）上年结转</w:t>
      </w:r>
      <w:r>
        <w:rPr>
          <w:rFonts w:hint="eastAsia" w:ascii="TimesNewRoman" w:hAnsi="TimesNewRoman" w:cs="TimesNewRoman"/>
          <w:szCs w:val="32"/>
          <w:lang w:eastAsia="zh-CN"/>
        </w:rPr>
        <w:t>收入</w:t>
      </w:r>
      <w:r>
        <w:rPr>
          <w:rFonts w:hint="eastAsia" w:ascii="TimesNewRoman" w:hAnsi="TimesNewRoman" w:cs="TimesNewRoman"/>
          <w:szCs w:val="32"/>
          <w:lang w:val="en-US" w:eastAsia="zh-CN"/>
        </w:rPr>
        <w:t>0</w:t>
      </w:r>
      <w:r>
        <w:rPr>
          <w:rFonts w:hint="default" w:ascii="TimesNewRoman" w:hAnsi="TimesNewRoman" w:cs="TimesNewRoman"/>
          <w:szCs w:val="32"/>
        </w:rPr>
        <w:t>万元，</w:t>
      </w:r>
      <w:r>
        <w:rPr>
          <w:rFonts w:hint="eastAsia" w:ascii="TimesNewRoman" w:hAnsi="TimesNewRoman" w:cs="TimesNewRoman"/>
          <w:szCs w:val="32"/>
          <w:lang w:val="en-US" w:eastAsia="zh-CN"/>
        </w:rPr>
        <w:t>与</w:t>
      </w:r>
      <w:r>
        <w:rPr>
          <w:rFonts w:hint="default" w:ascii="TimesNewRoman" w:hAnsi="TimesNewRoman" w:cs="TimesNewRoman"/>
          <w:szCs w:val="32"/>
        </w:rPr>
        <w:t>202</w:t>
      </w:r>
      <w:r>
        <w:rPr>
          <w:rFonts w:hint="eastAsia" w:ascii="TimesNewRoman" w:hAnsi="TimesNewRoman" w:cs="TimesNewRoman"/>
          <w:szCs w:val="32"/>
          <w:lang w:val="en-US" w:eastAsia="zh-CN"/>
        </w:rPr>
        <w:t>2</w:t>
      </w:r>
      <w:r>
        <w:rPr>
          <w:rFonts w:hint="default" w:ascii="TimesNewRoman" w:hAnsi="TimesNewRoman" w:cs="TimesNewRoman"/>
          <w:szCs w:val="32"/>
        </w:rPr>
        <w:t>年预算</w:t>
      </w:r>
      <w:r>
        <w:rPr>
          <w:rFonts w:hint="eastAsia" w:ascii="TimesNewRoman" w:hAnsi="TimesNewRoman" w:cs="TimesNewRoman"/>
          <w:szCs w:val="32"/>
          <w:lang w:val="en-US" w:eastAsia="zh-CN"/>
        </w:rPr>
        <w:t>持平</w:t>
      </w:r>
      <w:r>
        <w:rPr>
          <w:rFonts w:hint="default" w:ascii="TimesNewRoman" w:hAnsi="TimesNewRoman" w:cs="TimesNewRoman"/>
          <w:szCs w:val="32"/>
        </w:rPr>
        <w:t>。</w:t>
      </w:r>
    </w:p>
    <w:p>
      <w:pPr>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黑体" w:cs="TimesNewRoman"/>
          <w:kern w:val="0"/>
          <w:szCs w:val="32"/>
        </w:rPr>
      </w:pPr>
      <w:r>
        <w:rPr>
          <w:rFonts w:hint="default" w:ascii="TimesNewRoman" w:hAnsi="TimesNewRoman" w:eastAsia="黑体" w:cs="TimesNewRoman"/>
          <w:kern w:val="0"/>
          <w:szCs w:val="32"/>
        </w:rPr>
        <w:t>三、关于202</w:t>
      </w:r>
      <w:r>
        <w:rPr>
          <w:rFonts w:hint="default" w:ascii="TimesNewRoman" w:hAnsi="TimesNewRoman" w:eastAsia="黑体" w:cs="TimesNewRoman"/>
          <w:kern w:val="0"/>
          <w:szCs w:val="32"/>
          <w:lang w:val="en"/>
        </w:rPr>
        <w:t>3</w:t>
      </w:r>
      <w:r>
        <w:rPr>
          <w:rFonts w:hint="default" w:ascii="TimesNewRoman" w:hAnsi="TimesNewRoman" w:eastAsia="黑体" w:cs="TimesNewRoman"/>
          <w:kern w:val="0"/>
          <w:szCs w:val="32"/>
        </w:rPr>
        <w:t>年支出总表的说明</w:t>
      </w:r>
    </w:p>
    <w:p>
      <w:pPr>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cs="TimesNewRoman"/>
          <w:szCs w:val="32"/>
        </w:rPr>
      </w:pPr>
      <w:r>
        <w:rPr>
          <w:rFonts w:hint="eastAsia" w:ascii="TimesNewRoman" w:hAnsi="TimesNewRoman" w:cs="TimesNewRoman"/>
          <w:szCs w:val="32"/>
          <w:lang w:eastAsia="zh-CN"/>
        </w:rPr>
        <w:t>中国致公党安庆市委员会</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年支出预算</w:t>
      </w:r>
      <w:r>
        <w:rPr>
          <w:rFonts w:hint="eastAsia" w:ascii="TimesNewRoman" w:hAnsi="TimesNewRoman" w:cs="TimesNewRoman"/>
          <w:szCs w:val="32"/>
          <w:lang w:val="en-US" w:eastAsia="zh-CN"/>
        </w:rPr>
        <w:t>58.42</w:t>
      </w:r>
      <w:r>
        <w:rPr>
          <w:rFonts w:hint="default" w:ascii="TimesNewRoman" w:hAnsi="TimesNewRoman" w:cs="TimesNewRoman"/>
          <w:szCs w:val="32"/>
        </w:rPr>
        <w:t>万元，比202</w:t>
      </w:r>
      <w:r>
        <w:rPr>
          <w:rFonts w:hint="default" w:ascii="TimesNewRoman" w:hAnsi="TimesNewRoman" w:cs="TimesNewRoman"/>
          <w:szCs w:val="32"/>
          <w:lang w:val="en"/>
        </w:rPr>
        <w:t>2</w:t>
      </w:r>
      <w:r>
        <w:rPr>
          <w:rFonts w:hint="default" w:ascii="TimesNewRoman" w:hAnsi="TimesNewRoman" w:cs="TimesNewRoman"/>
          <w:szCs w:val="32"/>
        </w:rPr>
        <w:t>年预算增加</w:t>
      </w:r>
      <w:r>
        <w:rPr>
          <w:rFonts w:hint="eastAsia" w:ascii="TimesNewRoman" w:hAnsi="TimesNewRoman" w:cs="TimesNewRoman"/>
          <w:szCs w:val="32"/>
          <w:lang w:val="en-US" w:eastAsia="zh-CN"/>
        </w:rPr>
        <w:t>8.19</w:t>
      </w:r>
      <w:r>
        <w:rPr>
          <w:rFonts w:hint="default" w:ascii="TimesNewRoman" w:hAnsi="TimesNewRoman" w:cs="TimesNewRoman"/>
          <w:szCs w:val="32"/>
        </w:rPr>
        <w:t>万元，增长</w:t>
      </w:r>
      <w:r>
        <w:rPr>
          <w:rFonts w:hint="eastAsia" w:ascii="TimesNewRoman" w:hAnsi="TimesNewRoman" w:cs="TimesNewRoman"/>
          <w:szCs w:val="32"/>
          <w:lang w:val="en-US" w:eastAsia="zh-CN"/>
        </w:rPr>
        <w:t>16.3</w:t>
      </w:r>
      <w:r>
        <w:rPr>
          <w:rFonts w:hint="default" w:ascii="TimesNewRoman" w:hAnsi="TimesNewRoman" w:cs="TimesNewRoman"/>
          <w:szCs w:val="32"/>
        </w:rPr>
        <w:t>%，增长原因主要是</w:t>
      </w:r>
      <w:r>
        <w:rPr>
          <w:rFonts w:hint="eastAsia" w:ascii="TimesNewRoman" w:hAnsi="TimesNewRoman" w:eastAsia="楷体_GB2312" w:cs="TimesNewRoman"/>
          <w:szCs w:val="32"/>
          <w:lang w:eastAsia="zh-CN"/>
        </w:rPr>
        <w:t>绩效在预算体现</w:t>
      </w:r>
      <w:r>
        <w:rPr>
          <w:rFonts w:hint="default" w:ascii="TimesNewRoman" w:hAnsi="TimesNewRoman" w:cs="TimesNewRoman"/>
          <w:szCs w:val="32"/>
        </w:rPr>
        <w:t>。其中，基本支出</w:t>
      </w:r>
      <w:r>
        <w:rPr>
          <w:rFonts w:hint="eastAsia" w:ascii="TimesNewRoman" w:hAnsi="TimesNewRoman" w:cs="TimesNewRoman"/>
          <w:szCs w:val="32"/>
          <w:lang w:val="en-US" w:eastAsia="zh-CN"/>
        </w:rPr>
        <w:t>40.52</w:t>
      </w:r>
      <w:r>
        <w:rPr>
          <w:rFonts w:hint="default" w:ascii="TimesNewRoman" w:hAnsi="TimesNewRoman" w:cs="TimesNewRoman"/>
          <w:szCs w:val="32"/>
        </w:rPr>
        <w:t>万元，占</w:t>
      </w:r>
      <w:r>
        <w:rPr>
          <w:rFonts w:hint="eastAsia" w:ascii="TimesNewRoman" w:hAnsi="TimesNewRoman" w:cs="TimesNewRoman"/>
          <w:szCs w:val="32"/>
          <w:lang w:val="en-US" w:eastAsia="zh-CN"/>
        </w:rPr>
        <w:t>69.36</w:t>
      </w:r>
      <w:r>
        <w:rPr>
          <w:rFonts w:hint="default" w:ascii="TimesNewRoman" w:hAnsi="TimesNewRoman" w:cs="TimesNewRoman"/>
          <w:szCs w:val="32"/>
        </w:rPr>
        <w:t>%，主要用于保障机构日常运转、完成日常工作任务；项目支出</w:t>
      </w:r>
      <w:r>
        <w:rPr>
          <w:rFonts w:hint="eastAsia" w:ascii="TimesNewRoman" w:hAnsi="TimesNewRoman" w:cs="TimesNewRoman"/>
          <w:szCs w:val="32"/>
          <w:lang w:val="en-US" w:eastAsia="zh-CN"/>
        </w:rPr>
        <w:t>17.9</w:t>
      </w:r>
      <w:r>
        <w:rPr>
          <w:rFonts w:hint="default" w:ascii="TimesNewRoman" w:hAnsi="TimesNewRoman" w:cs="TimesNewRoman"/>
          <w:szCs w:val="32"/>
        </w:rPr>
        <w:t>万元，占</w:t>
      </w:r>
      <w:r>
        <w:rPr>
          <w:rFonts w:hint="eastAsia" w:ascii="TimesNewRoman" w:hAnsi="TimesNewRoman" w:cs="TimesNewRoman"/>
          <w:szCs w:val="32"/>
          <w:lang w:val="en-US" w:eastAsia="zh-CN"/>
        </w:rPr>
        <w:t>30.64</w:t>
      </w:r>
      <w:r>
        <w:rPr>
          <w:rFonts w:hint="default" w:ascii="TimesNewRoman" w:hAnsi="TimesNewRoman" w:cs="TimesNewRoman"/>
          <w:szCs w:val="32"/>
        </w:rPr>
        <w:t>%，主要用</w:t>
      </w:r>
      <w:r>
        <w:rPr>
          <w:rFonts w:hint="default" w:ascii="TimesNewRoman" w:hAnsi="TimesNewRoman" w:cs="TimesNewRoman"/>
          <w:color w:val="auto"/>
          <w:szCs w:val="32"/>
        </w:rPr>
        <w:t>于</w:t>
      </w:r>
      <w:r>
        <w:rPr>
          <w:rFonts w:hint="eastAsia" w:ascii="TimesNewRoman" w:hAnsi="TimesNewRoman" w:cs="TimesNewRoman"/>
          <w:color w:val="auto"/>
          <w:szCs w:val="32"/>
          <w:lang w:val="en-US" w:eastAsia="zh-CN"/>
        </w:rPr>
        <w:t>民主监督经费、参政议政经费、长江（安庆段）生态环境保护监督专项经费</w:t>
      </w:r>
      <w:r>
        <w:rPr>
          <w:rFonts w:hint="default" w:ascii="TimesNewRoman" w:hAnsi="TimesNewRoman" w:cs="TimesNewRoman"/>
          <w:color w:val="auto"/>
          <w:szCs w:val="32"/>
        </w:rPr>
        <w:t>。</w:t>
      </w:r>
    </w:p>
    <w:p>
      <w:pPr>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黑体" w:cs="TimesNewRoman"/>
          <w:kern w:val="0"/>
          <w:szCs w:val="32"/>
        </w:rPr>
      </w:pPr>
      <w:r>
        <w:rPr>
          <w:rFonts w:hint="default" w:ascii="TimesNewRoman" w:hAnsi="TimesNewRoman" w:eastAsia="黑体" w:cs="TimesNewRoman"/>
          <w:kern w:val="0"/>
          <w:szCs w:val="32"/>
        </w:rPr>
        <w:t>四、关于202</w:t>
      </w:r>
      <w:r>
        <w:rPr>
          <w:rFonts w:hint="default" w:ascii="TimesNewRoman" w:hAnsi="TimesNewRoman" w:eastAsia="黑体" w:cs="TimesNewRoman"/>
          <w:kern w:val="0"/>
          <w:szCs w:val="32"/>
          <w:lang w:val="en"/>
        </w:rPr>
        <w:t>3</w:t>
      </w:r>
      <w:r>
        <w:rPr>
          <w:rFonts w:hint="default" w:ascii="TimesNewRoman" w:hAnsi="TimesNewRoman" w:eastAsia="黑体" w:cs="TimesNewRoman"/>
          <w:kern w:val="0"/>
          <w:szCs w:val="32"/>
        </w:rPr>
        <w:t>年财政拨款收支总表的说明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楷体_GB2312" w:cs="TimesNewRoman"/>
          <w:sz w:val="32"/>
          <w:szCs w:val="32"/>
        </w:rPr>
      </w:pPr>
      <w:r>
        <w:rPr>
          <w:rFonts w:hint="default" w:ascii="TimesNewRoman" w:hAnsi="TimesNewRoman" w:eastAsia="仿宋_GB2312" w:cs="TimesNewRoman"/>
          <w:sz w:val="32"/>
          <w:szCs w:val="32"/>
        </w:rPr>
        <w:t>中国致公党安庆市委员会202</w:t>
      </w:r>
      <w:r>
        <w:rPr>
          <w:rFonts w:hint="default" w:ascii="TimesNewRoman" w:hAnsi="TimesNewRoman" w:eastAsia="仿宋_GB2312" w:cs="TimesNewRoman"/>
          <w:sz w:val="32"/>
          <w:szCs w:val="32"/>
          <w:lang w:val="en"/>
        </w:rPr>
        <w:t>3</w:t>
      </w:r>
      <w:r>
        <w:rPr>
          <w:rFonts w:hint="default" w:ascii="TimesNewRoman" w:hAnsi="TimesNewRoman" w:eastAsia="仿宋_GB2312" w:cs="TimesNewRoman"/>
          <w:sz w:val="32"/>
          <w:szCs w:val="32"/>
        </w:rPr>
        <w:t>年财政拨款收支预算</w:t>
      </w:r>
      <w:r>
        <w:rPr>
          <w:rFonts w:hint="eastAsia" w:ascii="TimesNewRoman" w:hAnsi="TimesNewRoman" w:eastAsia="仿宋_GB2312" w:cs="TimesNewRoman"/>
          <w:sz w:val="32"/>
          <w:szCs w:val="32"/>
          <w:lang w:val="en-US" w:eastAsia="zh-CN"/>
        </w:rPr>
        <w:t>58.42</w:t>
      </w:r>
      <w:r>
        <w:rPr>
          <w:rFonts w:hint="default" w:ascii="TimesNewRoman" w:hAnsi="TimesNewRoman" w:eastAsia="仿宋_GB2312" w:cs="TimesNewRoman"/>
          <w:sz w:val="32"/>
          <w:szCs w:val="32"/>
        </w:rPr>
        <w:t>万元。收入按资金来源</w:t>
      </w:r>
      <w:r>
        <w:rPr>
          <w:rFonts w:hint="eastAsia" w:ascii="TimesNewRoman" w:hAnsi="TimesNewRoman" w:eastAsia="仿宋_GB2312" w:cs="TimesNewRoman"/>
          <w:sz w:val="32"/>
          <w:szCs w:val="32"/>
          <w:lang w:val="en-US" w:eastAsia="zh-CN"/>
        </w:rPr>
        <w:t>全部为</w:t>
      </w:r>
      <w:r>
        <w:rPr>
          <w:rFonts w:hint="default" w:ascii="TimesNewRoman" w:hAnsi="TimesNewRoman" w:eastAsia="仿宋_GB2312" w:cs="TimesNewRoman"/>
          <w:sz w:val="32"/>
          <w:szCs w:val="32"/>
        </w:rPr>
        <w:t>一般公共预算拨款</w:t>
      </w:r>
      <w:r>
        <w:rPr>
          <w:rFonts w:hint="eastAsia" w:ascii="TimesNewRoman" w:hAnsi="TimesNewRoman" w:eastAsia="仿宋_GB2312" w:cs="TimesNewRoman"/>
          <w:sz w:val="32"/>
          <w:szCs w:val="32"/>
          <w:lang w:val="en-US" w:eastAsia="zh-CN"/>
        </w:rPr>
        <w:t>58.42</w:t>
      </w:r>
      <w:r>
        <w:rPr>
          <w:rFonts w:hint="default" w:ascii="TimesNewRoman" w:hAnsi="TimesNewRoman" w:eastAsia="仿宋_GB2312" w:cs="TimesNewRoman"/>
          <w:sz w:val="32"/>
          <w:szCs w:val="32"/>
        </w:rPr>
        <w:t>万元</w:t>
      </w:r>
      <w:r>
        <w:rPr>
          <w:rFonts w:hint="eastAsia" w:ascii="TimesNewRoman" w:hAnsi="TimesNewRoman" w:eastAsia="仿宋_GB2312" w:cs="TimesNewRoman"/>
          <w:sz w:val="32"/>
          <w:szCs w:val="32"/>
          <w:lang w:eastAsia="zh-CN"/>
        </w:rPr>
        <w:t>；</w:t>
      </w:r>
      <w:r>
        <w:rPr>
          <w:rFonts w:hint="eastAsia" w:ascii="TimesNewRoman" w:hAnsi="TimesNewRoman" w:eastAsia="仿宋_GB2312" w:cs="TimesNewRoman"/>
          <w:sz w:val="32"/>
          <w:szCs w:val="32"/>
          <w:lang w:val="en-US" w:eastAsia="zh-CN"/>
        </w:rPr>
        <w:t>按资金年度分全部为当年财政拨款收入58.42</w:t>
      </w:r>
      <w:r>
        <w:rPr>
          <w:rFonts w:hint="default" w:ascii="TimesNewRoman" w:hAnsi="TimesNewRoman" w:eastAsia="仿宋_GB2312" w:cs="TimesNewRoman"/>
          <w:sz w:val="32"/>
          <w:szCs w:val="32"/>
        </w:rPr>
        <w:t>万元。支出按功能分类分为：一般公共服务支出</w:t>
      </w:r>
      <w:r>
        <w:rPr>
          <w:rFonts w:hint="eastAsia" w:ascii="TimesNewRoman" w:hAnsi="TimesNewRoman" w:eastAsia="仿宋_GB2312" w:cs="TimesNewRoman"/>
          <w:sz w:val="32"/>
          <w:szCs w:val="32"/>
          <w:lang w:val="en-US" w:eastAsia="zh-CN"/>
        </w:rPr>
        <w:t>48.92</w:t>
      </w:r>
      <w:r>
        <w:rPr>
          <w:rFonts w:hint="default" w:ascii="TimesNewRoman" w:hAnsi="TimesNewRoman" w:eastAsia="仿宋_GB2312" w:cs="TimesNewRoman"/>
          <w:sz w:val="32"/>
          <w:szCs w:val="32"/>
        </w:rPr>
        <w:t>万元，占</w:t>
      </w:r>
      <w:r>
        <w:rPr>
          <w:rFonts w:hint="eastAsia" w:ascii="TimesNewRoman" w:hAnsi="TimesNewRoman" w:eastAsia="仿宋_GB2312" w:cs="TimesNewRoman"/>
          <w:sz w:val="32"/>
          <w:szCs w:val="32"/>
          <w:lang w:val="en-US" w:eastAsia="zh-CN"/>
        </w:rPr>
        <w:t>83.74</w:t>
      </w:r>
      <w:r>
        <w:rPr>
          <w:rFonts w:hint="default" w:ascii="TimesNewRoman" w:hAnsi="TimesNewRoman" w:eastAsia="仿宋_GB2312" w:cs="TimesNewRoman"/>
          <w:sz w:val="32"/>
          <w:szCs w:val="32"/>
        </w:rPr>
        <w:t>%；社会保障和就业支出</w:t>
      </w:r>
      <w:r>
        <w:rPr>
          <w:rFonts w:hint="eastAsia" w:ascii="TimesNewRoman" w:hAnsi="TimesNewRoman" w:eastAsia="仿宋_GB2312" w:cs="TimesNewRoman"/>
          <w:sz w:val="32"/>
          <w:szCs w:val="32"/>
          <w:lang w:val="en-US" w:eastAsia="zh-CN"/>
        </w:rPr>
        <w:t>5.1</w:t>
      </w:r>
      <w:r>
        <w:rPr>
          <w:rFonts w:hint="default" w:ascii="TimesNewRoman" w:hAnsi="TimesNewRoman" w:eastAsia="仿宋_GB2312" w:cs="TimesNewRoman"/>
          <w:sz w:val="32"/>
          <w:szCs w:val="32"/>
        </w:rPr>
        <w:t>万元，占</w:t>
      </w:r>
      <w:r>
        <w:rPr>
          <w:rFonts w:hint="eastAsia" w:ascii="TimesNewRoman" w:hAnsi="TimesNewRoman" w:eastAsia="仿宋_GB2312" w:cs="TimesNewRoman"/>
          <w:sz w:val="32"/>
          <w:szCs w:val="32"/>
          <w:lang w:val="en-US" w:eastAsia="zh-CN"/>
        </w:rPr>
        <w:t>8.73</w:t>
      </w:r>
      <w:r>
        <w:rPr>
          <w:rFonts w:hint="default" w:ascii="TimesNewRoman" w:hAnsi="TimesNewRoman" w:eastAsia="仿宋_GB2312" w:cs="TimesNewRoman"/>
          <w:sz w:val="32"/>
          <w:szCs w:val="32"/>
        </w:rPr>
        <w:t>%；卫生健康支出</w:t>
      </w:r>
      <w:r>
        <w:rPr>
          <w:rFonts w:hint="eastAsia" w:ascii="TimesNewRoman" w:hAnsi="TimesNewRoman" w:eastAsia="仿宋_GB2312" w:cs="TimesNewRoman"/>
          <w:sz w:val="32"/>
          <w:szCs w:val="32"/>
          <w:lang w:val="en-US" w:eastAsia="zh-CN"/>
        </w:rPr>
        <w:t>1.46</w:t>
      </w:r>
      <w:r>
        <w:rPr>
          <w:rFonts w:hint="default" w:ascii="TimesNewRoman" w:hAnsi="TimesNewRoman" w:eastAsia="仿宋_GB2312" w:cs="TimesNewRoman"/>
          <w:sz w:val="32"/>
          <w:szCs w:val="32"/>
        </w:rPr>
        <w:t>万元，占</w:t>
      </w:r>
      <w:r>
        <w:rPr>
          <w:rFonts w:hint="eastAsia" w:ascii="TimesNewRoman" w:hAnsi="TimesNewRoman" w:eastAsia="仿宋_GB2312" w:cs="TimesNewRoman"/>
          <w:sz w:val="32"/>
          <w:szCs w:val="32"/>
          <w:lang w:val="en-US" w:eastAsia="zh-CN"/>
        </w:rPr>
        <w:t>2.51</w:t>
      </w:r>
      <w:r>
        <w:rPr>
          <w:rFonts w:hint="default" w:ascii="TimesNewRoman" w:hAnsi="TimesNewRoman" w:eastAsia="仿宋_GB2312" w:cs="TimesNewRoman"/>
          <w:sz w:val="32"/>
          <w:szCs w:val="32"/>
        </w:rPr>
        <w:t>%；住房保障支出</w:t>
      </w:r>
      <w:r>
        <w:rPr>
          <w:rFonts w:hint="eastAsia" w:ascii="TimesNewRoman" w:hAnsi="TimesNewRoman" w:eastAsia="仿宋_GB2312" w:cs="TimesNewRoman"/>
          <w:sz w:val="32"/>
          <w:szCs w:val="32"/>
          <w:lang w:val="en-US" w:eastAsia="zh-CN"/>
        </w:rPr>
        <w:t>2.93</w:t>
      </w:r>
      <w:r>
        <w:rPr>
          <w:rFonts w:hint="default" w:ascii="TimesNewRoman" w:hAnsi="TimesNewRoman" w:eastAsia="仿宋_GB2312" w:cs="TimesNewRoman"/>
          <w:sz w:val="32"/>
          <w:szCs w:val="32"/>
        </w:rPr>
        <w:t>万元，占</w:t>
      </w:r>
      <w:r>
        <w:rPr>
          <w:rFonts w:hint="eastAsia" w:ascii="TimesNewRoman" w:hAnsi="TimesNewRoman" w:eastAsia="仿宋_GB2312" w:cs="TimesNewRoman"/>
          <w:sz w:val="32"/>
          <w:szCs w:val="32"/>
          <w:lang w:val="en-US" w:eastAsia="zh-CN"/>
        </w:rPr>
        <w:t>5.02</w:t>
      </w:r>
      <w:r>
        <w:rPr>
          <w:rFonts w:hint="default" w:ascii="TimesNewRoman" w:hAnsi="TimesNewRoman" w:eastAsia="仿宋_GB2312" w:cs="TimesNewRoman"/>
          <w:sz w:val="32"/>
          <w:szCs w:val="32"/>
        </w:rPr>
        <w:t>%。</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黑体" w:cs="TimesNewRoman"/>
          <w:sz w:val="32"/>
          <w:szCs w:val="32"/>
        </w:rPr>
      </w:pPr>
      <w:r>
        <w:rPr>
          <w:rFonts w:hint="default" w:ascii="TimesNewRoman" w:hAnsi="TimesNewRoman" w:eastAsia="黑体" w:cs="TimesNewRoman"/>
          <w:sz w:val="32"/>
          <w:szCs w:val="32"/>
        </w:rPr>
        <w:t>五、关于202</w:t>
      </w:r>
      <w:r>
        <w:rPr>
          <w:rFonts w:hint="default" w:ascii="TimesNewRoman" w:hAnsi="TimesNewRoman" w:eastAsia="黑体" w:cs="TimesNewRoman"/>
          <w:sz w:val="32"/>
          <w:szCs w:val="32"/>
          <w:lang w:val="en"/>
        </w:rPr>
        <w:t>3</w:t>
      </w:r>
      <w:r>
        <w:rPr>
          <w:rFonts w:hint="default" w:ascii="TimesNewRoman" w:hAnsi="TimesNewRoman" w:eastAsia="黑体" w:cs="TimesNewRoman"/>
          <w:sz w:val="32"/>
          <w:szCs w:val="32"/>
        </w:rPr>
        <w:t>年一般公共预算支出表的说明</w:t>
      </w:r>
    </w:p>
    <w:p>
      <w:pPr>
        <w:pStyle w:val="3"/>
        <w:keepNext w:val="0"/>
        <w:keepLines w:val="0"/>
        <w:pageBreakBefore w:val="0"/>
        <w:kinsoku/>
        <w:overflowPunct/>
        <w:topLinePunct w:val="0"/>
        <w:autoSpaceDE/>
        <w:autoSpaceDN/>
        <w:bidi w:val="0"/>
        <w:adjustRightInd w:val="0"/>
        <w:snapToGrid w:val="0"/>
        <w:spacing w:line="560" w:lineRule="exact"/>
        <w:ind w:firstLine="630" w:firstLineChars="196"/>
        <w:rPr>
          <w:rFonts w:hint="default" w:ascii="TimesNewRoman" w:hAnsi="TimesNewRoman" w:eastAsia="楷体_GB2312" w:cs="TimesNewRoman"/>
          <w:b/>
          <w:sz w:val="32"/>
          <w:szCs w:val="32"/>
        </w:rPr>
      </w:pPr>
      <w:r>
        <w:rPr>
          <w:rFonts w:hint="default" w:ascii="TimesNewRoman" w:hAnsi="TimesNewRoman" w:eastAsia="楷体_GB2312" w:cs="TimesNewRoman"/>
          <w:b/>
          <w:sz w:val="32"/>
          <w:szCs w:val="32"/>
        </w:rPr>
        <w:t>（一）一般公共预算支出规模变化情况。</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仿宋_GB2312" w:cs="TimesNewRoman"/>
          <w:sz w:val="32"/>
          <w:szCs w:val="32"/>
        </w:rPr>
      </w:pPr>
      <w:r>
        <w:rPr>
          <w:rFonts w:hint="default" w:ascii="TimesNewRoman" w:hAnsi="TimesNewRoman" w:eastAsia="仿宋_GB2312" w:cs="TimesNewRoman"/>
          <w:sz w:val="32"/>
          <w:szCs w:val="32"/>
        </w:rPr>
        <w:t>中国致公党安庆市委员会202</w:t>
      </w:r>
      <w:r>
        <w:rPr>
          <w:rFonts w:hint="default" w:ascii="TimesNewRoman" w:hAnsi="TimesNewRoman" w:eastAsia="仿宋_GB2312" w:cs="TimesNewRoman"/>
          <w:sz w:val="32"/>
          <w:szCs w:val="32"/>
          <w:lang w:val="en"/>
        </w:rPr>
        <w:t>3</w:t>
      </w:r>
      <w:r>
        <w:rPr>
          <w:rFonts w:hint="default" w:ascii="TimesNewRoman" w:hAnsi="TimesNewRoman" w:eastAsia="仿宋_GB2312" w:cs="TimesNewRoman"/>
          <w:sz w:val="32"/>
          <w:szCs w:val="32"/>
        </w:rPr>
        <w:t>年一般公共预算支出</w:t>
      </w:r>
      <w:r>
        <w:rPr>
          <w:rFonts w:hint="eastAsia" w:ascii="TimesNewRoman" w:hAnsi="TimesNewRoman" w:eastAsia="仿宋_GB2312" w:cs="TimesNewRoman"/>
          <w:sz w:val="32"/>
          <w:szCs w:val="32"/>
          <w:lang w:val="en-US" w:eastAsia="zh-CN"/>
        </w:rPr>
        <w:t>58.42</w:t>
      </w:r>
      <w:r>
        <w:rPr>
          <w:rFonts w:hint="default" w:ascii="TimesNewRoman" w:hAnsi="TimesNewRoman" w:eastAsia="仿宋_GB2312" w:cs="TimesNewRoman"/>
          <w:sz w:val="32"/>
          <w:szCs w:val="32"/>
        </w:rPr>
        <w:t>万元，比202</w:t>
      </w:r>
      <w:r>
        <w:rPr>
          <w:rFonts w:hint="default" w:ascii="TimesNewRoman" w:hAnsi="TimesNewRoman" w:eastAsia="仿宋_GB2312" w:cs="TimesNewRoman"/>
          <w:sz w:val="32"/>
          <w:szCs w:val="32"/>
          <w:lang w:val="en"/>
        </w:rPr>
        <w:t>2</w:t>
      </w:r>
      <w:r>
        <w:rPr>
          <w:rFonts w:hint="default" w:ascii="TimesNewRoman" w:hAnsi="TimesNewRoman" w:eastAsia="仿宋_GB2312" w:cs="TimesNewRoman"/>
          <w:sz w:val="32"/>
          <w:szCs w:val="32"/>
        </w:rPr>
        <w:t>年预算增加8.19万元，增长16.3%，主要原因：</w:t>
      </w:r>
      <w:r>
        <w:rPr>
          <w:rFonts w:hint="eastAsia" w:ascii="TimesNewRoman" w:hAnsi="TimesNewRoman" w:eastAsia="仿宋_GB2312" w:cs="TimesNewRoman"/>
          <w:sz w:val="32"/>
          <w:szCs w:val="32"/>
          <w:lang w:eastAsia="zh-CN"/>
        </w:rPr>
        <w:t>绩效在预算体现</w:t>
      </w:r>
      <w:r>
        <w:rPr>
          <w:rFonts w:hint="default" w:ascii="TimesNewRoman" w:hAnsi="TimesNewRoman" w:eastAsia="仿宋_GB2312" w:cs="TimesNewRoman"/>
          <w:sz w:val="32"/>
          <w:szCs w:val="32"/>
        </w:rPr>
        <w:t>。</w:t>
      </w:r>
    </w:p>
    <w:p>
      <w:pPr>
        <w:pStyle w:val="3"/>
        <w:keepNext w:val="0"/>
        <w:keepLines w:val="0"/>
        <w:pageBreakBefore w:val="0"/>
        <w:kinsoku/>
        <w:overflowPunct/>
        <w:topLinePunct w:val="0"/>
        <w:autoSpaceDE/>
        <w:autoSpaceDN/>
        <w:bidi w:val="0"/>
        <w:adjustRightInd w:val="0"/>
        <w:snapToGrid w:val="0"/>
        <w:spacing w:line="560" w:lineRule="exact"/>
        <w:ind w:firstLine="630" w:firstLineChars="196"/>
        <w:rPr>
          <w:rFonts w:hint="default" w:ascii="TimesNewRoman" w:hAnsi="TimesNewRoman" w:eastAsia="楷体_GB2312" w:cs="TimesNewRoman"/>
          <w:b/>
          <w:sz w:val="32"/>
          <w:szCs w:val="32"/>
        </w:rPr>
      </w:pPr>
      <w:r>
        <w:rPr>
          <w:rFonts w:hint="default" w:ascii="TimesNewRoman" w:hAnsi="TimesNewRoman" w:eastAsia="楷体_GB2312" w:cs="TimesNewRoman"/>
          <w:b/>
          <w:sz w:val="32"/>
          <w:szCs w:val="32"/>
        </w:rPr>
        <w:t>（二）一般公共预算支出结构情况。</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仿宋_GB2312" w:cs="TimesNewRoman"/>
          <w:sz w:val="32"/>
          <w:szCs w:val="32"/>
        </w:rPr>
      </w:pPr>
      <w:r>
        <w:rPr>
          <w:rFonts w:hint="default" w:ascii="TimesNewRoman" w:hAnsi="TimesNewRoman" w:eastAsia="仿宋_GB2312" w:cs="TimesNewRoman"/>
          <w:sz w:val="32"/>
          <w:szCs w:val="32"/>
        </w:rPr>
        <w:t>一般公共服务支出</w:t>
      </w:r>
      <w:r>
        <w:rPr>
          <w:rFonts w:hint="eastAsia" w:ascii="TimesNewRoman" w:hAnsi="TimesNewRoman" w:eastAsia="仿宋_GB2312" w:cs="TimesNewRoman"/>
          <w:sz w:val="32"/>
          <w:szCs w:val="32"/>
          <w:lang w:val="en-US" w:eastAsia="zh-CN"/>
        </w:rPr>
        <w:t>48.92</w:t>
      </w:r>
      <w:r>
        <w:rPr>
          <w:rFonts w:hint="default" w:ascii="TimesNewRoman" w:hAnsi="TimesNewRoman" w:eastAsia="仿宋_GB2312" w:cs="TimesNewRoman"/>
          <w:sz w:val="32"/>
          <w:szCs w:val="32"/>
        </w:rPr>
        <w:t>万元，占</w:t>
      </w:r>
      <w:r>
        <w:rPr>
          <w:rFonts w:hint="eastAsia" w:ascii="TimesNewRoman" w:hAnsi="TimesNewRoman" w:eastAsia="仿宋_GB2312" w:cs="TimesNewRoman"/>
          <w:sz w:val="32"/>
          <w:szCs w:val="32"/>
          <w:lang w:val="en-US" w:eastAsia="zh-CN"/>
        </w:rPr>
        <w:t>83.74</w:t>
      </w:r>
      <w:r>
        <w:rPr>
          <w:rFonts w:hint="default" w:ascii="TimesNewRoman" w:hAnsi="TimesNewRoman" w:eastAsia="仿宋_GB2312" w:cs="TimesNewRoman"/>
          <w:sz w:val="32"/>
          <w:szCs w:val="32"/>
        </w:rPr>
        <w:t>%；社会保障和就业支出</w:t>
      </w:r>
      <w:r>
        <w:rPr>
          <w:rFonts w:hint="eastAsia" w:ascii="TimesNewRoman" w:hAnsi="TimesNewRoman" w:eastAsia="仿宋_GB2312" w:cs="TimesNewRoman"/>
          <w:sz w:val="32"/>
          <w:szCs w:val="32"/>
          <w:lang w:val="en-US" w:eastAsia="zh-CN"/>
        </w:rPr>
        <w:t>5.1</w:t>
      </w:r>
      <w:r>
        <w:rPr>
          <w:rFonts w:hint="default" w:ascii="TimesNewRoman" w:hAnsi="TimesNewRoman" w:eastAsia="仿宋_GB2312" w:cs="TimesNewRoman"/>
          <w:sz w:val="32"/>
          <w:szCs w:val="32"/>
        </w:rPr>
        <w:t>万元，占</w:t>
      </w:r>
      <w:r>
        <w:rPr>
          <w:rFonts w:hint="eastAsia" w:ascii="TimesNewRoman" w:hAnsi="TimesNewRoman" w:eastAsia="仿宋_GB2312" w:cs="TimesNewRoman"/>
          <w:sz w:val="32"/>
          <w:szCs w:val="32"/>
          <w:lang w:val="en-US" w:eastAsia="zh-CN"/>
        </w:rPr>
        <w:t>8.73</w:t>
      </w:r>
      <w:r>
        <w:rPr>
          <w:rFonts w:hint="default" w:ascii="TimesNewRoman" w:hAnsi="TimesNewRoman" w:eastAsia="仿宋_GB2312" w:cs="TimesNewRoman"/>
          <w:sz w:val="32"/>
          <w:szCs w:val="32"/>
        </w:rPr>
        <w:t>%；卫生健康支出</w:t>
      </w:r>
      <w:r>
        <w:rPr>
          <w:rFonts w:hint="eastAsia" w:ascii="TimesNewRoman" w:hAnsi="TimesNewRoman" w:eastAsia="仿宋_GB2312" w:cs="TimesNewRoman"/>
          <w:sz w:val="32"/>
          <w:szCs w:val="32"/>
          <w:lang w:val="en-US" w:eastAsia="zh-CN"/>
        </w:rPr>
        <w:t>1.46</w:t>
      </w:r>
      <w:r>
        <w:rPr>
          <w:rFonts w:hint="default" w:ascii="TimesNewRoman" w:hAnsi="TimesNewRoman" w:eastAsia="仿宋_GB2312" w:cs="TimesNewRoman"/>
          <w:sz w:val="32"/>
          <w:szCs w:val="32"/>
        </w:rPr>
        <w:t>万元，占</w:t>
      </w:r>
      <w:r>
        <w:rPr>
          <w:rFonts w:hint="eastAsia" w:ascii="TimesNewRoman" w:hAnsi="TimesNewRoman" w:eastAsia="仿宋_GB2312" w:cs="TimesNewRoman"/>
          <w:sz w:val="32"/>
          <w:szCs w:val="32"/>
          <w:lang w:val="en-US" w:eastAsia="zh-CN"/>
        </w:rPr>
        <w:t>2.51</w:t>
      </w:r>
      <w:r>
        <w:rPr>
          <w:rFonts w:hint="default" w:ascii="TimesNewRoman" w:hAnsi="TimesNewRoman" w:eastAsia="仿宋_GB2312" w:cs="TimesNewRoman"/>
          <w:sz w:val="32"/>
          <w:szCs w:val="32"/>
        </w:rPr>
        <w:t>%；住房保障支出</w:t>
      </w:r>
      <w:r>
        <w:rPr>
          <w:rFonts w:hint="eastAsia" w:ascii="TimesNewRoman" w:hAnsi="TimesNewRoman" w:eastAsia="仿宋_GB2312" w:cs="TimesNewRoman"/>
          <w:sz w:val="32"/>
          <w:szCs w:val="32"/>
          <w:lang w:val="en-US" w:eastAsia="zh-CN"/>
        </w:rPr>
        <w:t>2.93</w:t>
      </w:r>
      <w:r>
        <w:rPr>
          <w:rFonts w:hint="default" w:ascii="TimesNewRoman" w:hAnsi="TimesNewRoman" w:eastAsia="仿宋_GB2312" w:cs="TimesNewRoman"/>
          <w:sz w:val="32"/>
          <w:szCs w:val="32"/>
        </w:rPr>
        <w:t>万元，占</w:t>
      </w:r>
      <w:r>
        <w:rPr>
          <w:rFonts w:hint="eastAsia" w:ascii="TimesNewRoman" w:hAnsi="TimesNewRoman" w:eastAsia="仿宋_GB2312" w:cs="TimesNewRoman"/>
          <w:sz w:val="32"/>
          <w:szCs w:val="32"/>
          <w:lang w:val="en-US" w:eastAsia="zh-CN"/>
        </w:rPr>
        <w:t>5.02</w:t>
      </w:r>
      <w:r>
        <w:rPr>
          <w:rFonts w:hint="default" w:ascii="TimesNewRoman" w:hAnsi="TimesNewRoman" w:eastAsia="仿宋_GB2312" w:cs="TimesNewRoman"/>
          <w:sz w:val="32"/>
          <w:szCs w:val="32"/>
        </w:rPr>
        <w:t>%。</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eastAsia="楷体_GB2312" w:cs="TimesNewRoman"/>
          <w:b/>
          <w:szCs w:val="32"/>
        </w:rPr>
      </w:pPr>
      <w:r>
        <w:rPr>
          <w:rFonts w:hint="default" w:ascii="TimesNewRoman" w:hAnsi="TimesNewRoman" w:eastAsia="楷体_GB2312" w:cs="TimesNewRoman"/>
          <w:b/>
          <w:szCs w:val="32"/>
        </w:rPr>
        <w:t>（三）一般公共预算支出具体使用情况。</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cs="TimesNewRoman"/>
          <w:szCs w:val="32"/>
        </w:rPr>
      </w:pPr>
      <w:r>
        <w:rPr>
          <w:rFonts w:hint="default" w:ascii="TimesNewRoman" w:hAnsi="TimesNewRoman" w:cs="TimesNewRoman"/>
          <w:b/>
          <w:szCs w:val="32"/>
        </w:rPr>
        <w:t>1.一般公共服务支出（类）民主党派及工商联事务（款）其他民主党派及工商联事务支出（项）</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年预算</w:t>
      </w:r>
      <w:r>
        <w:rPr>
          <w:rFonts w:hint="eastAsia" w:ascii="TimesNewRoman" w:hAnsi="TimesNewRoman" w:cs="TimesNewRoman"/>
          <w:szCs w:val="32"/>
          <w:lang w:val="en-US" w:eastAsia="zh-CN"/>
        </w:rPr>
        <w:t>5</w:t>
      </w:r>
      <w:r>
        <w:rPr>
          <w:rFonts w:hint="default" w:ascii="TimesNewRoman" w:hAnsi="TimesNewRoman" w:cs="TimesNewRoman"/>
          <w:szCs w:val="32"/>
        </w:rPr>
        <w:t>万元，</w:t>
      </w:r>
      <w:r>
        <w:rPr>
          <w:rFonts w:hint="default" w:ascii="TimesNewRoman" w:hAnsi="TimesNewRoman" w:cs="TimesNewRoman"/>
          <w:color w:val="auto"/>
          <w:szCs w:val="32"/>
        </w:rPr>
        <w:t>比202</w:t>
      </w:r>
      <w:r>
        <w:rPr>
          <w:rFonts w:hint="default" w:ascii="TimesNewRoman" w:hAnsi="TimesNewRoman" w:cs="TimesNewRoman"/>
          <w:color w:val="auto"/>
          <w:szCs w:val="32"/>
          <w:lang w:val="en"/>
        </w:rPr>
        <w:t>2</w:t>
      </w:r>
      <w:r>
        <w:rPr>
          <w:rFonts w:hint="default" w:ascii="TimesNewRoman" w:hAnsi="TimesNewRoman" w:cs="TimesNewRoman"/>
          <w:color w:val="auto"/>
          <w:szCs w:val="32"/>
        </w:rPr>
        <w:t>年预算减少</w:t>
      </w:r>
      <w:r>
        <w:rPr>
          <w:rFonts w:hint="eastAsia" w:ascii="TimesNewRoman" w:hAnsi="TimesNewRoman" w:cs="TimesNewRoman"/>
          <w:color w:val="auto"/>
          <w:szCs w:val="32"/>
          <w:lang w:val="en-US" w:eastAsia="zh-CN"/>
        </w:rPr>
        <w:t>2</w:t>
      </w:r>
      <w:r>
        <w:rPr>
          <w:rFonts w:hint="default" w:ascii="TimesNewRoman" w:hAnsi="TimesNewRoman" w:cs="TimesNewRoman"/>
          <w:color w:val="auto"/>
          <w:szCs w:val="32"/>
        </w:rPr>
        <w:t>万元，下降</w:t>
      </w:r>
      <w:r>
        <w:rPr>
          <w:rFonts w:hint="eastAsia" w:ascii="TimesNewRoman" w:hAnsi="TimesNewRoman" w:cs="TimesNewRoman"/>
          <w:color w:val="auto"/>
          <w:szCs w:val="32"/>
          <w:lang w:val="en-US" w:eastAsia="zh-CN"/>
        </w:rPr>
        <w:t>28.57</w:t>
      </w:r>
      <w:r>
        <w:rPr>
          <w:rFonts w:hint="default" w:ascii="TimesNewRoman" w:hAnsi="TimesNewRoman" w:cs="TimesNewRoman"/>
          <w:color w:val="auto"/>
          <w:szCs w:val="32"/>
        </w:rPr>
        <w:t>%，下降原因主要是</w:t>
      </w:r>
      <w:r>
        <w:rPr>
          <w:rFonts w:hint="eastAsia" w:ascii="TimesNewRoman" w:hAnsi="TimesNewRoman" w:cs="TimesNewRoman"/>
          <w:color w:val="auto"/>
          <w:szCs w:val="32"/>
          <w:lang w:eastAsia="zh-CN"/>
        </w:rPr>
        <w:t>厉行节约，节俭开支</w:t>
      </w:r>
      <w:r>
        <w:rPr>
          <w:rFonts w:hint="default" w:ascii="TimesNewRoman" w:hAnsi="TimesNewRoman" w:cs="TimesNewRoman"/>
          <w:color w:val="auto"/>
          <w:szCs w:val="32"/>
        </w:rPr>
        <w:t>。</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eastAsia" w:ascii="TimesNewRoman" w:hAnsi="TimesNewRoman" w:cs="TimesNewRoman"/>
          <w:szCs w:val="32"/>
          <w:lang w:val="en-US" w:eastAsia="zh-CN"/>
        </w:rPr>
      </w:pPr>
      <w:r>
        <w:rPr>
          <w:rFonts w:hint="default" w:ascii="TimesNewRoman" w:hAnsi="TimesNewRoman" w:cs="TimesNewRoman"/>
          <w:b/>
          <w:szCs w:val="32"/>
        </w:rPr>
        <w:t>2.一般公共服务支出（类）民主党派及工商联事务（款）</w:t>
      </w:r>
      <w:r>
        <w:rPr>
          <w:rFonts w:hint="eastAsia" w:ascii="TimesNewRoman" w:hAnsi="TimesNewRoman" w:cs="TimesNewRoman"/>
          <w:b/>
          <w:szCs w:val="32"/>
          <w:lang w:val="en-US" w:eastAsia="zh-CN"/>
        </w:rPr>
        <w:t>参政议政</w:t>
      </w:r>
      <w:r>
        <w:rPr>
          <w:rFonts w:hint="default" w:ascii="TimesNewRoman" w:hAnsi="TimesNewRoman" w:cs="TimesNewRoman"/>
          <w:b/>
          <w:szCs w:val="32"/>
        </w:rPr>
        <w:t>（项）</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年预算</w:t>
      </w:r>
      <w:r>
        <w:rPr>
          <w:rFonts w:hint="eastAsia" w:ascii="TimesNewRoman" w:hAnsi="TimesNewRoman" w:cs="TimesNewRoman"/>
          <w:szCs w:val="32"/>
          <w:lang w:val="en-US" w:eastAsia="zh-CN"/>
        </w:rPr>
        <w:t>7.9</w:t>
      </w:r>
      <w:r>
        <w:rPr>
          <w:rFonts w:hint="default" w:ascii="TimesNewRoman" w:hAnsi="TimesNewRoman" w:cs="TimesNewRoman"/>
          <w:szCs w:val="32"/>
        </w:rPr>
        <w:t>万元，</w:t>
      </w:r>
      <w:r>
        <w:rPr>
          <w:rFonts w:hint="eastAsia" w:ascii="TimesNewRoman" w:hAnsi="TimesNewRoman" w:cs="TimesNewRoman"/>
          <w:szCs w:val="32"/>
          <w:lang w:val="en-US" w:eastAsia="zh-CN"/>
        </w:rPr>
        <w:t>与</w:t>
      </w:r>
      <w:r>
        <w:rPr>
          <w:rFonts w:hint="default" w:ascii="TimesNewRoman" w:hAnsi="TimesNewRoman" w:cs="TimesNewRoman"/>
          <w:szCs w:val="32"/>
        </w:rPr>
        <w:t>202</w:t>
      </w:r>
      <w:r>
        <w:rPr>
          <w:rFonts w:hint="default" w:ascii="TimesNewRoman" w:hAnsi="TimesNewRoman" w:cs="TimesNewRoman"/>
          <w:szCs w:val="32"/>
          <w:lang w:val="en"/>
        </w:rPr>
        <w:t>2</w:t>
      </w:r>
      <w:r>
        <w:rPr>
          <w:rFonts w:hint="default" w:ascii="TimesNewRoman" w:hAnsi="TimesNewRoman" w:cs="TimesNewRoman"/>
          <w:szCs w:val="32"/>
        </w:rPr>
        <w:t>年预算</w:t>
      </w:r>
      <w:r>
        <w:rPr>
          <w:rFonts w:hint="eastAsia" w:ascii="TimesNewRoman" w:hAnsi="TimesNewRoman" w:cs="TimesNewRoman"/>
          <w:szCs w:val="32"/>
          <w:lang w:val="en-US" w:eastAsia="zh-CN"/>
        </w:rPr>
        <w:t>持平。</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cs="TimesNewRoman"/>
          <w:szCs w:val="32"/>
        </w:rPr>
      </w:pPr>
      <w:r>
        <w:rPr>
          <w:rFonts w:hint="eastAsia" w:ascii="TimesNewRoman" w:hAnsi="TimesNewRoman" w:cs="TimesNewRoman"/>
          <w:b/>
          <w:szCs w:val="32"/>
          <w:lang w:val="en-US" w:eastAsia="zh-CN"/>
        </w:rPr>
        <w:t>3</w:t>
      </w:r>
      <w:r>
        <w:rPr>
          <w:rFonts w:hint="default" w:ascii="TimesNewRoman" w:hAnsi="TimesNewRoman" w:cs="TimesNewRoman"/>
          <w:b/>
          <w:szCs w:val="32"/>
        </w:rPr>
        <w:t>.一般公共服务支出（类）民主党派及工商联事务（款）</w:t>
      </w:r>
      <w:r>
        <w:rPr>
          <w:rFonts w:hint="eastAsia" w:ascii="TimesNewRoman" w:hAnsi="TimesNewRoman" w:cs="TimesNewRoman"/>
          <w:b/>
          <w:szCs w:val="32"/>
          <w:lang w:val="en-US" w:eastAsia="zh-CN"/>
        </w:rPr>
        <w:t>一般行政管理事务</w:t>
      </w:r>
      <w:r>
        <w:rPr>
          <w:rFonts w:hint="default" w:ascii="TimesNewRoman" w:hAnsi="TimesNewRoman" w:cs="TimesNewRoman"/>
          <w:b/>
          <w:szCs w:val="32"/>
        </w:rPr>
        <w:t>（项）</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年预算</w:t>
      </w:r>
      <w:r>
        <w:rPr>
          <w:rFonts w:hint="eastAsia" w:ascii="TimesNewRoman" w:hAnsi="TimesNewRoman" w:cs="TimesNewRoman"/>
          <w:szCs w:val="32"/>
          <w:lang w:val="en-US" w:eastAsia="zh-CN"/>
        </w:rPr>
        <w:t>5</w:t>
      </w:r>
      <w:r>
        <w:rPr>
          <w:rFonts w:hint="default" w:ascii="TimesNewRoman" w:hAnsi="TimesNewRoman" w:cs="TimesNewRoman"/>
          <w:szCs w:val="32"/>
        </w:rPr>
        <w:t>万元，比202</w:t>
      </w:r>
      <w:r>
        <w:rPr>
          <w:rFonts w:hint="default" w:ascii="TimesNewRoman" w:hAnsi="TimesNewRoman" w:cs="TimesNewRoman"/>
          <w:szCs w:val="32"/>
          <w:lang w:val="en"/>
        </w:rPr>
        <w:t>2</w:t>
      </w:r>
      <w:r>
        <w:rPr>
          <w:rFonts w:hint="default" w:ascii="TimesNewRoman" w:hAnsi="TimesNewRoman" w:cs="TimesNewRoman"/>
          <w:szCs w:val="32"/>
        </w:rPr>
        <w:t>年预算</w:t>
      </w:r>
      <w:r>
        <w:rPr>
          <w:rFonts w:hint="eastAsia" w:ascii="TimesNewRoman" w:hAnsi="TimesNewRoman" w:cs="TimesNewRoman"/>
          <w:szCs w:val="32"/>
          <w:lang w:val="en-US" w:eastAsia="zh-CN"/>
        </w:rPr>
        <w:t>持平</w:t>
      </w:r>
      <w:r>
        <w:rPr>
          <w:rFonts w:hint="default" w:ascii="TimesNewRoman" w:hAnsi="TimesNewRoman" w:cs="TimesNewRoman"/>
          <w:szCs w:val="32"/>
        </w:rPr>
        <w:t>。</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cs="TimesNewRoman"/>
          <w:szCs w:val="32"/>
        </w:rPr>
      </w:pPr>
      <w:r>
        <w:rPr>
          <w:rFonts w:hint="eastAsia" w:ascii="TimesNewRoman" w:hAnsi="TimesNewRoman" w:cs="TimesNewRoman"/>
          <w:b/>
          <w:szCs w:val="32"/>
          <w:lang w:val="en-US" w:eastAsia="zh-CN"/>
        </w:rPr>
        <w:t>4</w:t>
      </w:r>
      <w:r>
        <w:rPr>
          <w:rFonts w:hint="default" w:ascii="TimesNewRoman" w:hAnsi="TimesNewRoman" w:cs="TimesNewRoman"/>
          <w:b/>
          <w:szCs w:val="32"/>
        </w:rPr>
        <w:t>.一般公共服务支出（类）民主党派及工商联事务（款）</w:t>
      </w:r>
      <w:r>
        <w:rPr>
          <w:rFonts w:hint="eastAsia" w:ascii="TimesNewRoman" w:hAnsi="TimesNewRoman" w:cs="TimesNewRoman"/>
          <w:b/>
          <w:szCs w:val="32"/>
          <w:lang w:val="en-US" w:eastAsia="zh-CN"/>
        </w:rPr>
        <w:t>行政运行</w:t>
      </w:r>
      <w:r>
        <w:rPr>
          <w:rFonts w:hint="default" w:ascii="TimesNewRoman" w:hAnsi="TimesNewRoman" w:cs="TimesNewRoman"/>
          <w:b/>
          <w:szCs w:val="32"/>
        </w:rPr>
        <w:t>（项）</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年预算</w:t>
      </w:r>
      <w:r>
        <w:rPr>
          <w:rFonts w:hint="eastAsia" w:ascii="TimesNewRoman" w:hAnsi="TimesNewRoman" w:cs="TimesNewRoman"/>
          <w:szCs w:val="32"/>
          <w:lang w:val="en-US" w:eastAsia="zh-CN"/>
        </w:rPr>
        <w:t>31.02</w:t>
      </w:r>
      <w:r>
        <w:rPr>
          <w:rFonts w:hint="default" w:ascii="TimesNewRoman" w:hAnsi="TimesNewRoman" w:cs="TimesNewRoman"/>
          <w:szCs w:val="32"/>
        </w:rPr>
        <w:t>万元，比202</w:t>
      </w:r>
      <w:r>
        <w:rPr>
          <w:rFonts w:hint="default" w:ascii="TimesNewRoman" w:hAnsi="TimesNewRoman" w:cs="TimesNewRoman"/>
          <w:szCs w:val="32"/>
          <w:lang w:val="en"/>
        </w:rPr>
        <w:t>2</w:t>
      </w:r>
      <w:r>
        <w:rPr>
          <w:rFonts w:hint="default" w:ascii="TimesNewRoman" w:hAnsi="TimesNewRoman" w:cs="TimesNewRoman"/>
          <w:szCs w:val="32"/>
        </w:rPr>
        <w:t>年预算增加</w:t>
      </w:r>
      <w:r>
        <w:rPr>
          <w:rFonts w:hint="eastAsia" w:ascii="TimesNewRoman" w:hAnsi="TimesNewRoman" w:cs="TimesNewRoman"/>
          <w:szCs w:val="32"/>
          <w:lang w:val="en-US" w:eastAsia="zh-CN"/>
        </w:rPr>
        <w:t>8.02</w:t>
      </w:r>
      <w:r>
        <w:rPr>
          <w:rFonts w:hint="default" w:ascii="TimesNewRoman" w:hAnsi="TimesNewRoman" w:cs="TimesNewRoman"/>
          <w:szCs w:val="32"/>
        </w:rPr>
        <w:t>万元，增长</w:t>
      </w:r>
      <w:r>
        <w:rPr>
          <w:rFonts w:hint="eastAsia" w:ascii="TimesNewRoman" w:hAnsi="TimesNewRoman" w:cs="TimesNewRoman"/>
          <w:szCs w:val="32"/>
          <w:lang w:val="en-US" w:eastAsia="zh-CN"/>
        </w:rPr>
        <w:t>34.87</w:t>
      </w:r>
      <w:r>
        <w:rPr>
          <w:rFonts w:hint="default" w:ascii="TimesNewRoman" w:hAnsi="TimesNewRoman" w:cs="TimesNewRoman"/>
          <w:szCs w:val="32"/>
        </w:rPr>
        <w:t>%，增长原因主要是</w:t>
      </w:r>
      <w:r>
        <w:rPr>
          <w:rFonts w:hint="eastAsia" w:ascii="TimesNewRoman" w:hAnsi="TimesNewRoman" w:cs="TimesNewRoman"/>
          <w:color w:val="auto"/>
          <w:szCs w:val="32"/>
          <w:lang w:val="en-US" w:eastAsia="zh-CN"/>
        </w:rPr>
        <w:t>工资结构调整</w:t>
      </w:r>
      <w:r>
        <w:rPr>
          <w:rFonts w:hint="default" w:ascii="TimesNewRoman" w:hAnsi="TimesNewRoman" w:cs="TimesNewRoman"/>
          <w:color w:val="auto"/>
          <w:szCs w:val="32"/>
        </w:rPr>
        <w:t>。</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cs="TimesNewRoman"/>
          <w:szCs w:val="32"/>
        </w:rPr>
      </w:pPr>
      <w:r>
        <w:rPr>
          <w:rFonts w:hint="eastAsia" w:ascii="TimesNewRoman" w:hAnsi="TimesNewRoman" w:cs="TimesNewRoman"/>
          <w:b/>
          <w:szCs w:val="32"/>
          <w:lang w:val="en-US" w:eastAsia="zh-CN"/>
        </w:rPr>
        <w:t>5</w:t>
      </w:r>
      <w:r>
        <w:rPr>
          <w:rFonts w:hint="default" w:ascii="TimesNewRoman" w:hAnsi="TimesNewRoman" w:cs="TimesNewRoman"/>
          <w:b/>
          <w:szCs w:val="32"/>
        </w:rPr>
        <w:t>.社会保障和就业支出（类</w:t>
      </w:r>
      <w:r>
        <w:rPr>
          <w:rFonts w:hint="eastAsia" w:ascii="TimesNewRoman" w:hAnsi="TimesNewRoman" w:cs="TimesNewRoman"/>
          <w:b/>
          <w:szCs w:val="32"/>
          <w:lang w:eastAsia="zh-CN"/>
        </w:rPr>
        <w:t>）</w:t>
      </w:r>
      <w:r>
        <w:rPr>
          <w:rFonts w:hint="default" w:ascii="TimesNewRoman" w:hAnsi="TimesNewRoman" w:cs="TimesNewRoman"/>
          <w:b/>
          <w:szCs w:val="32"/>
        </w:rPr>
        <w:t>行政事业单位养老支出（款）机关事业单位职业年金缴费支出（项）</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年预算</w:t>
      </w:r>
      <w:r>
        <w:rPr>
          <w:rFonts w:hint="eastAsia" w:ascii="TimesNewRoman" w:hAnsi="TimesNewRoman" w:cs="TimesNewRoman"/>
          <w:szCs w:val="32"/>
          <w:lang w:val="en-US" w:eastAsia="zh-CN"/>
        </w:rPr>
        <w:t>1.7</w:t>
      </w:r>
      <w:r>
        <w:rPr>
          <w:rFonts w:hint="default" w:ascii="TimesNewRoman" w:hAnsi="TimesNewRoman" w:cs="TimesNewRoman"/>
          <w:szCs w:val="32"/>
        </w:rPr>
        <w:t>万元，比202</w:t>
      </w:r>
      <w:r>
        <w:rPr>
          <w:rFonts w:hint="default" w:ascii="TimesNewRoman" w:hAnsi="TimesNewRoman" w:cs="TimesNewRoman"/>
          <w:szCs w:val="32"/>
          <w:lang w:val="en"/>
        </w:rPr>
        <w:t>2</w:t>
      </w:r>
      <w:r>
        <w:rPr>
          <w:rFonts w:hint="default" w:ascii="TimesNewRoman" w:hAnsi="TimesNewRoman" w:cs="TimesNewRoman"/>
          <w:szCs w:val="32"/>
        </w:rPr>
        <w:t>年预算增加</w:t>
      </w:r>
      <w:r>
        <w:rPr>
          <w:rFonts w:hint="eastAsia" w:ascii="TimesNewRoman" w:hAnsi="TimesNewRoman" w:cs="TimesNewRoman"/>
          <w:szCs w:val="32"/>
          <w:lang w:val="en-US" w:eastAsia="zh-CN"/>
        </w:rPr>
        <w:t>0.64</w:t>
      </w:r>
      <w:r>
        <w:rPr>
          <w:rFonts w:hint="default" w:ascii="TimesNewRoman" w:hAnsi="TimesNewRoman" w:cs="TimesNewRoman"/>
          <w:szCs w:val="32"/>
        </w:rPr>
        <w:t>万元，增长</w:t>
      </w:r>
      <w:r>
        <w:rPr>
          <w:rFonts w:hint="eastAsia" w:ascii="TimesNewRoman" w:hAnsi="TimesNewRoman" w:cs="TimesNewRoman"/>
          <w:szCs w:val="32"/>
          <w:lang w:val="en-US" w:eastAsia="zh-CN"/>
        </w:rPr>
        <w:t>60.38</w:t>
      </w:r>
      <w:r>
        <w:rPr>
          <w:rFonts w:hint="default" w:ascii="TimesNewRoman" w:hAnsi="TimesNewRoman" w:cs="TimesNewRoman"/>
          <w:szCs w:val="32"/>
        </w:rPr>
        <w:t>%，增长原因主要</w:t>
      </w:r>
      <w:r>
        <w:rPr>
          <w:rFonts w:hint="default" w:ascii="TimesNewRoman" w:hAnsi="TimesNewRoman" w:cs="TimesNewRoman"/>
          <w:szCs w:val="32"/>
          <w:lang w:val="en-US" w:eastAsia="zh-CN"/>
        </w:rPr>
        <w:t>是机关事业单位</w:t>
      </w:r>
      <w:r>
        <w:rPr>
          <w:rFonts w:hint="eastAsia" w:ascii="TimesNewRoman" w:hAnsi="TimesNewRoman" w:cs="TimesNewRoman"/>
          <w:szCs w:val="32"/>
          <w:lang w:val="en-US" w:eastAsia="zh-CN"/>
        </w:rPr>
        <w:t>年金缴费基</w:t>
      </w:r>
      <w:r>
        <w:rPr>
          <w:rFonts w:hint="eastAsia" w:ascii="TimesNewRoman" w:hAnsi="TimesNewRoman" w:cs="TimesNewRoman"/>
          <w:color w:val="auto"/>
          <w:szCs w:val="32"/>
          <w:lang w:val="en-US" w:eastAsia="zh-CN"/>
        </w:rPr>
        <w:t>数调整</w:t>
      </w:r>
      <w:r>
        <w:rPr>
          <w:rFonts w:hint="default" w:ascii="TimesNewRoman" w:hAnsi="TimesNewRoman" w:cs="TimesNewRoman"/>
          <w:color w:val="auto"/>
          <w:szCs w:val="32"/>
        </w:rPr>
        <w:t>。</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cs="TimesNewRoman"/>
          <w:szCs w:val="32"/>
        </w:rPr>
      </w:pPr>
      <w:r>
        <w:rPr>
          <w:rFonts w:hint="eastAsia" w:ascii="TimesNewRoman" w:hAnsi="TimesNewRoman" w:cs="TimesNewRoman"/>
          <w:b/>
          <w:szCs w:val="32"/>
          <w:lang w:val="en-US" w:eastAsia="zh-CN"/>
        </w:rPr>
        <w:t>6</w:t>
      </w:r>
      <w:r>
        <w:rPr>
          <w:rFonts w:hint="default" w:ascii="TimesNewRoman" w:hAnsi="TimesNewRoman" w:cs="TimesNewRoman"/>
          <w:b/>
          <w:szCs w:val="32"/>
        </w:rPr>
        <w:t>.社会保障和就业支出（类</w:t>
      </w:r>
      <w:r>
        <w:rPr>
          <w:rFonts w:hint="eastAsia" w:ascii="TimesNewRoman" w:hAnsi="TimesNewRoman" w:cs="TimesNewRoman"/>
          <w:b/>
          <w:szCs w:val="32"/>
          <w:lang w:eastAsia="zh-CN"/>
        </w:rPr>
        <w:t>）</w:t>
      </w:r>
      <w:r>
        <w:rPr>
          <w:rFonts w:hint="default" w:ascii="TimesNewRoman" w:hAnsi="TimesNewRoman" w:cs="TimesNewRoman"/>
          <w:b/>
          <w:szCs w:val="32"/>
        </w:rPr>
        <w:t>行政事业单位养老支出（款）机关事业单位基本养老保险缴费支出（项）</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年预算</w:t>
      </w:r>
      <w:r>
        <w:rPr>
          <w:rFonts w:hint="eastAsia" w:ascii="TimesNewRoman" w:hAnsi="TimesNewRoman" w:cs="TimesNewRoman"/>
          <w:szCs w:val="32"/>
          <w:lang w:val="en-US" w:eastAsia="zh-CN"/>
        </w:rPr>
        <w:t>3.4</w:t>
      </w:r>
      <w:r>
        <w:rPr>
          <w:rFonts w:hint="default" w:ascii="TimesNewRoman" w:hAnsi="TimesNewRoman" w:cs="TimesNewRoman"/>
          <w:szCs w:val="32"/>
        </w:rPr>
        <w:t>万元，比202</w:t>
      </w:r>
      <w:r>
        <w:rPr>
          <w:rFonts w:hint="default" w:ascii="TimesNewRoman" w:hAnsi="TimesNewRoman" w:cs="TimesNewRoman"/>
          <w:szCs w:val="32"/>
          <w:lang w:val="en"/>
        </w:rPr>
        <w:t>2</w:t>
      </w:r>
      <w:r>
        <w:rPr>
          <w:rFonts w:hint="default" w:ascii="TimesNewRoman" w:hAnsi="TimesNewRoman" w:cs="TimesNewRoman"/>
          <w:szCs w:val="32"/>
        </w:rPr>
        <w:t>年预算增加</w:t>
      </w:r>
      <w:r>
        <w:rPr>
          <w:rFonts w:hint="eastAsia" w:ascii="TimesNewRoman" w:hAnsi="TimesNewRoman" w:cs="TimesNewRoman"/>
          <w:szCs w:val="32"/>
          <w:lang w:val="en-US" w:eastAsia="zh-CN"/>
        </w:rPr>
        <w:t>1.27</w:t>
      </w:r>
      <w:r>
        <w:rPr>
          <w:rFonts w:hint="default" w:ascii="TimesNewRoman" w:hAnsi="TimesNewRoman" w:cs="TimesNewRoman"/>
          <w:szCs w:val="32"/>
        </w:rPr>
        <w:t>万元，增长</w:t>
      </w:r>
      <w:r>
        <w:rPr>
          <w:rFonts w:hint="eastAsia" w:ascii="TimesNewRoman" w:hAnsi="TimesNewRoman" w:cs="TimesNewRoman"/>
          <w:szCs w:val="32"/>
          <w:lang w:val="en-US" w:eastAsia="zh-CN"/>
        </w:rPr>
        <w:t>59.62</w:t>
      </w:r>
      <w:r>
        <w:rPr>
          <w:rFonts w:hint="default" w:ascii="TimesNewRoman" w:hAnsi="TimesNewRoman" w:cs="TimesNewRoman"/>
          <w:szCs w:val="32"/>
        </w:rPr>
        <w:t>%，增长原因主</w:t>
      </w:r>
      <w:r>
        <w:rPr>
          <w:rFonts w:hint="default" w:ascii="TimesNewRoman" w:hAnsi="TimesNewRoman" w:cs="TimesNewRoman"/>
          <w:color w:val="auto"/>
          <w:szCs w:val="32"/>
        </w:rPr>
        <w:t>要是</w:t>
      </w:r>
      <w:r>
        <w:rPr>
          <w:rFonts w:hint="eastAsia" w:ascii="TimesNewRoman" w:hAnsi="TimesNewRoman" w:cs="TimesNewRoman"/>
          <w:color w:val="auto"/>
          <w:szCs w:val="32"/>
          <w:lang w:val="en-US" w:eastAsia="zh-CN"/>
        </w:rPr>
        <w:t>养老保险缴费基数调整</w:t>
      </w:r>
      <w:r>
        <w:rPr>
          <w:rFonts w:hint="default" w:ascii="TimesNewRoman" w:hAnsi="TimesNewRoman" w:cs="TimesNewRoman"/>
          <w:color w:val="auto"/>
          <w:szCs w:val="32"/>
        </w:rPr>
        <w:t>。</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cs="TimesNewRoman"/>
          <w:szCs w:val="32"/>
        </w:rPr>
      </w:pPr>
      <w:r>
        <w:rPr>
          <w:rFonts w:hint="eastAsia" w:ascii="TimesNewRoman" w:hAnsi="TimesNewRoman" w:cs="TimesNewRoman"/>
          <w:b/>
          <w:szCs w:val="32"/>
          <w:lang w:val="en-US" w:eastAsia="zh-CN"/>
        </w:rPr>
        <w:t>7</w:t>
      </w:r>
      <w:r>
        <w:rPr>
          <w:rFonts w:hint="default" w:ascii="TimesNewRoman" w:hAnsi="TimesNewRoman" w:cs="TimesNewRoman"/>
          <w:b/>
          <w:szCs w:val="32"/>
        </w:rPr>
        <w:t>.卫生健康支出（类</w:t>
      </w:r>
      <w:r>
        <w:rPr>
          <w:rFonts w:hint="eastAsia" w:ascii="TimesNewRoman" w:hAnsi="TimesNewRoman" w:cs="TimesNewRoman"/>
          <w:b/>
          <w:szCs w:val="32"/>
          <w:lang w:eastAsia="zh-CN"/>
        </w:rPr>
        <w:t>）</w:t>
      </w:r>
      <w:r>
        <w:rPr>
          <w:rFonts w:hint="default" w:ascii="TimesNewRoman" w:hAnsi="TimesNewRoman" w:cs="TimesNewRoman"/>
          <w:b/>
          <w:szCs w:val="32"/>
        </w:rPr>
        <w:t>行政事业单位医疗（款）公务员医疗补助（项）</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年预算</w:t>
      </w:r>
      <w:r>
        <w:rPr>
          <w:rFonts w:hint="eastAsia" w:ascii="TimesNewRoman" w:hAnsi="TimesNewRoman" w:cs="TimesNewRoman"/>
          <w:szCs w:val="32"/>
          <w:lang w:val="en-US" w:eastAsia="zh-CN"/>
        </w:rPr>
        <w:t>0.43</w:t>
      </w:r>
      <w:r>
        <w:rPr>
          <w:rFonts w:hint="default" w:ascii="TimesNewRoman" w:hAnsi="TimesNewRoman" w:cs="TimesNewRoman"/>
          <w:szCs w:val="32"/>
        </w:rPr>
        <w:t>万元，比202</w:t>
      </w:r>
      <w:r>
        <w:rPr>
          <w:rFonts w:hint="default" w:ascii="TimesNewRoman" w:hAnsi="TimesNewRoman" w:cs="TimesNewRoman"/>
          <w:szCs w:val="32"/>
          <w:lang w:val="en"/>
        </w:rPr>
        <w:t>2</w:t>
      </w:r>
      <w:r>
        <w:rPr>
          <w:rFonts w:hint="default" w:ascii="TimesNewRoman" w:hAnsi="TimesNewRoman" w:cs="TimesNewRoman"/>
          <w:szCs w:val="32"/>
        </w:rPr>
        <w:t>年预算增加</w:t>
      </w:r>
      <w:r>
        <w:rPr>
          <w:rFonts w:hint="eastAsia" w:ascii="TimesNewRoman" w:hAnsi="TimesNewRoman" w:cs="TimesNewRoman"/>
          <w:szCs w:val="32"/>
          <w:lang w:val="en-US" w:eastAsia="zh-CN"/>
        </w:rPr>
        <w:t>0.03</w:t>
      </w:r>
      <w:r>
        <w:rPr>
          <w:rFonts w:hint="default" w:ascii="TimesNewRoman" w:hAnsi="TimesNewRoman" w:cs="TimesNewRoman"/>
          <w:szCs w:val="32"/>
        </w:rPr>
        <w:t>万元，增长</w:t>
      </w:r>
      <w:r>
        <w:rPr>
          <w:rFonts w:hint="eastAsia" w:ascii="TimesNewRoman" w:hAnsi="TimesNewRoman" w:cs="TimesNewRoman"/>
          <w:szCs w:val="32"/>
          <w:lang w:val="en-US" w:eastAsia="zh-CN"/>
        </w:rPr>
        <w:t>7.5</w:t>
      </w:r>
      <w:r>
        <w:rPr>
          <w:rFonts w:hint="default" w:ascii="TimesNewRoman" w:hAnsi="TimesNewRoman" w:cs="TimesNewRoman"/>
          <w:szCs w:val="32"/>
        </w:rPr>
        <w:t>%，增长原因主要</w:t>
      </w:r>
      <w:r>
        <w:rPr>
          <w:rFonts w:hint="default" w:ascii="TimesNewRoman" w:hAnsi="TimesNewRoman" w:cs="TimesNewRoman"/>
          <w:color w:val="auto"/>
          <w:szCs w:val="32"/>
        </w:rPr>
        <w:t>是</w:t>
      </w:r>
      <w:r>
        <w:rPr>
          <w:rFonts w:hint="eastAsia" w:ascii="TimesNewRoman" w:hAnsi="TimesNewRoman" w:cs="TimesNewRoman"/>
          <w:color w:val="auto"/>
          <w:szCs w:val="32"/>
          <w:lang w:val="en-US" w:eastAsia="zh-CN"/>
        </w:rPr>
        <w:t>公务员医疗补助基数调整</w:t>
      </w:r>
      <w:r>
        <w:rPr>
          <w:rFonts w:hint="default" w:ascii="TimesNewRoman" w:hAnsi="TimesNewRoman" w:cs="TimesNewRoman"/>
          <w:color w:val="auto"/>
          <w:szCs w:val="32"/>
        </w:rPr>
        <w:t>。</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cs="TimesNewRoman"/>
          <w:szCs w:val="32"/>
        </w:rPr>
      </w:pPr>
      <w:r>
        <w:rPr>
          <w:rFonts w:hint="eastAsia" w:ascii="TimesNewRoman" w:hAnsi="TimesNewRoman" w:cs="TimesNewRoman"/>
          <w:b/>
          <w:szCs w:val="32"/>
          <w:lang w:val="en-US" w:eastAsia="zh-CN"/>
        </w:rPr>
        <w:t>8</w:t>
      </w:r>
      <w:r>
        <w:rPr>
          <w:rFonts w:hint="default" w:ascii="TimesNewRoman" w:hAnsi="TimesNewRoman" w:cs="TimesNewRoman"/>
          <w:b/>
          <w:szCs w:val="32"/>
        </w:rPr>
        <w:t>.卫生健康支出（类</w:t>
      </w:r>
      <w:r>
        <w:rPr>
          <w:rFonts w:hint="eastAsia" w:ascii="TimesNewRoman" w:hAnsi="TimesNewRoman" w:cs="TimesNewRoman"/>
          <w:b/>
          <w:szCs w:val="32"/>
          <w:lang w:eastAsia="zh-CN"/>
        </w:rPr>
        <w:t>）</w:t>
      </w:r>
      <w:r>
        <w:rPr>
          <w:rFonts w:hint="default" w:ascii="TimesNewRoman" w:hAnsi="TimesNewRoman" w:cs="TimesNewRoman"/>
          <w:b/>
          <w:szCs w:val="32"/>
        </w:rPr>
        <w:t>行政事业单位医疗（款）行政单位医疗（项）</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年预算</w:t>
      </w:r>
      <w:r>
        <w:rPr>
          <w:rFonts w:hint="eastAsia" w:ascii="TimesNewRoman" w:hAnsi="TimesNewRoman" w:cs="TimesNewRoman"/>
          <w:szCs w:val="32"/>
          <w:lang w:val="en-US" w:eastAsia="zh-CN"/>
        </w:rPr>
        <w:t>1.03</w:t>
      </w:r>
      <w:r>
        <w:rPr>
          <w:rFonts w:hint="default" w:ascii="TimesNewRoman" w:hAnsi="TimesNewRoman" w:cs="TimesNewRoman"/>
          <w:szCs w:val="32"/>
        </w:rPr>
        <w:t>万元，比202</w:t>
      </w:r>
      <w:r>
        <w:rPr>
          <w:rFonts w:hint="default" w:ascii="TimesNewRoman" w:hAnsi="TimesNewRoman" w:cs="TimesNewRoman"/>
          <w:szCs w:val="32"/>
          <w:lang w:val="en"/>
        </w:rPr>
        <w:t>2</w:t>
      </w:r>
      <w:r>
        <w:rPr>
          <w:rFonts w:hint="default" w:ascii="TimesNewRoman" w:hAnsi="TimesNewRoman" w:cs="TimesNewRoman"/>
          <w:szCs w:val="32"/>
        </w:rPr>
        <w:t>年预算增加</w:t>
      </w:r>
      <w:r>
        <w:rPr>
          <w:rFonts w:hint="eastAsia" w:ascii="TimesNewRoman" w:hAnsi="TimesNewRoman" w:cs="TimesNewRoman"/>
          <w:szCs w:val="32"/>
          <w:lang w:val="en-US" w:eastAsia="zh-CN"/>
        </w:rPr>
        <w:t>0.08</w:t>
      </w:r>
      <w:r>
        <w:rPr>
          <w:rFonts w:hint="default" w:ascii="TimesNewRoman" w:hAnsi="TimesNewRoman" w:cs="TimesNewRoman"/>
          <w:szCs w:val="32"/>
        </w:rPr>
        <w:t>万元，增长</w:t>
      </w:r>
      <w:r>
        <w:rPr>
          <w:rFonts w:hint="eastAsia" w:ascii="TimesNewRoman" w:hAnsi="TimesNewRoman" w:cs="TimesNewRoman"/>
          <w:szCs w:val="32"/>
          <w:lang w:val="en-US" w:eastAsia="zh-CN"/>
        </w:rPr>
        <w:t>8.42</w:t>
      </w:r>
      <w:r>
        <w:rPr>
          <w:rFonts w:hint="default" w:ascii="TimesNewRoman" w:hAnsi="TimesNewRoman" w:cs="TimesNewRoman"/>
          <w:szCs w:val="32"/>
        </w:rPr>
        <w:t>%，增长原因主要</w:t>
      </w:r>
      <w:r>
        <w:rPr>
          <w:rFonts w:hint="default" w:ascii="TimesNewRoman" w:hAnsi="TimesNewRoman" w:cs="TimesNewRoman"/>
          <w:color w:val="auto"/>
          <w:szCs w:val="32"/>
        </w:rPr>
        <w:t>是</w:t>
      </w:r>
      <w:r>
        <w:rPr>
          <w:rFonts w:hint="eastAsia" w:ascii="TimesNewRoman" w:hAnsi="TimesNewRoman" w:cs="TimesNewRoman"/>
          <w:color w:val="auto"/>
          <w:szCs w:val="32"/>
          <w:lang w:val="en-US" w:eastAsia="zh-CN"/>
        </w:rPr>
        <w:t>行政单位医疗缴费基数调整</w:t>
      </w:r>
      <w:r>
        <w:rPr>
          <w:rFonts w:hint="default" w:ascii="TimesNewRoman" w:hAnsi="TimesNewRoman" w:cs="TimesNewRoman"/>
          <w:color w:val="auto"/>
          <w:szCs w:val="32"/>
        </w:rPr>
        <w:t>。</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cs="TimesNewRoman"/>
          <w:szCs w:val="32"/>
        </w:rPr>
      </w:pPr>
      <w:r>
        <w:rPr>
          <w:rFonts w:hint="eastAsia" w:ascii="TimesNewRoman" w:hAnsi="TimesNewRoman" w:cs="TimesNewRoman"/>
          <w:b/>
          <w:szCs w:val="32"/>
          <w:lang w:val="en-US" w:eastAsia="zh-CN"/>
        </w:rPr>
        <w:t>9</w:t>
      </w:r>
      <w:r>
        <w:rPr>
          <w:rFonts w:hint="default" w:ascii="TimesNewRoman" w:hAnsi="TimesNewRoman" w:cs="TimesNewRoman"/>
          <w:b/>
          <w:szCs w:val="32"/>
        </w:rPr>
        <w:t>.住房保障支出（类）住房改革支出（款）住房公积金（项）</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年预</w:t>
      </w:r>
      <w:r>
        <w:rPr>
          <w:rFonts w:hint="default" w:ascii="TimesNewRoman" w:hAnsi="TimesNewRoman" w:cs="TimesNewRoman"/>
          <w:color w:val="auto"/>
          <w:szCs w:val="32"/>
        </w:rPr>
        <w:t>算</w:t>
      </w:r>
      <w:r>
        <w:rPr>
          <w:rFonts w:hint="eastAsia" w:ascii="TimesNewRoman" w:hAnsi="TimesNewRoman" w:cs="TimesNewRoman"/>
          <w:color w:val="auto"/>
          <w:szCs w:val="32"/>
          <w:lang w:val="en-US" w:eastAsia="zh-CN"/>
        </w:rPr>
        <w:t>2.93</w:t>
      </w:r>
      <w:r>
        <w:rPr>
          <w:rFonts w:hint="default" w:ascii="TimesNewRoman" w:hAnsi="TimesNewRoman" w:cs="TimesNewRoman"/>
          <w:color w:val="auto"/>
          <w:szCs w:val="32"/>
        </w:rPr>
        <w:t>万元，比202</w:t>
      </w:r>
      <w:r>
        <w:rPr>
          <w:rFonts w:hint="default" w:ascii="TimesNewRoman" w:hAnsi="TimesNewRoman" w:cs="TimesNewRoman"/>
          <w:color w:val="auto"/>
          <w:szCs w:val="32"/>
          <w:lang w:val="en"/>
        </w:rPr>
        <w:t>2</w:t>
      </w:r>
      <w:r>
        <w:rPr>
          <w:rFonts w:hint="default" w:ascii="TimesNewRoman" w:hAnsi="TimesNewRoman" w:cs="TimesNewRoman"/>
          <w:color w:val="auto"/>
          <w:szCs w:val="32"/>
        </w:rPr>
        <w:t>年预算增加</w:t>
      </w:r>
      <w:r>
        <w:rPr>
          <w:rFonts w:hint="eastAsia" w:ascii="TimesNewRoman" w:hAnsi="TimesNewRoman" w:cs="TimesNewRoman"/>
          <w:color w:val="auto"/>
          <w:szCs w:val="32"/>
          <w:lang w:val="en-US" w:eastAsia="zh-CN"/>
        </w:rPr>
        <w:t>0.14</w:t>
      </w:r>
      <w:r>
        <w:rPr>
          <w:rFonts w:hint="default" w:ascii="TimesNewRoman" w:hAnsi="TimesNewRoman" w:cs="TimesNewRoman"/>
          <w:color w:val="auto"/>
          <w:szCs w:val="32"/>
        </w:rPr>
        <w:t>万元，增长</w:t>
      </w:r>
      <w:r>
        <w:rPr>
          <w:rFonts w:hint="eastAsia" w:ascii="TimesNewRoman" w:hAnsi="TimesNewRoman" w:cs="TimesNewRoman"/>
          <w:color w:val="auto"/>
          <w:szCs w:val="32"/>
          <w:lang w:val="en-US" w:eastAsia="zh-CN"/>
        </w:rPr>
        <w:t>5.02</w:t>
      </w:r>
      <w:r>
        <w:rPr>
          <w:rFonts w:hint="default" w:ascii="TimesNewRoman" w:hAnsi="TimesNewRoman" w:cs="TimesNewRoman"/>
          <w:color w:val="auto"/>
          <w:szCs w:val="32"/>
        </w:rPr>
        <w:t>%，增长原因主要是</w:t>
      </w:r>
      <w:r>
        <w:rPr>
          <w:rFonts w:hint="eastAsia" w:ascii="TimesNewRoman" w:hAnsi="TimesNewRoman" w:cs="TimesNewRoman"/>
          <w:color w:val="auto"/>
          <w:szCs w:val="32"/>
          <w:lang w:val="en-US" w:eastAsia="zh-CN"/>
        </w:rPr>
        <w:t>住房公积金缴费基数调整</w:t>
      </w:r>
      <w:r>
        <w:rPr>
          <w:rFonts w:hint="default" w:ascii="TimesNewRoman" w:hAnsi="TimesNewRoman" w:cs="TimesNewRoman"/>
          <w:color w:val="auto"/>
          <w:szCs w:val="32"/>
        </w:rPr>
        <w:t>。</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黑体" w:cs="TimesNewRoman"/>
        </w:rPr>
      </w:pPr>
      <w:r>
        <w:rPr>
          <w:rFonts w:hint="default" w:ascii="TimesNewRoman" w:hAnsi="TimesNewRoman" w:eastAsia="黑体" w:cs="TimesNewRoman"/>
          <w:sz w:val="32"/>
          <w:szCs w:val="32"/>
        </w:rPr>
        <w:t>六、关于202</w:t>
      </w:r>
      <w:r>
        <w:rPr>
          <w:rFonts w:hint="default" w:ascii="TimesNewRoman" w:hAnsi="TimesNewRoman" w:eastAsia="黑体" w:cs="TimesNewRoman"/>
          <w:sz w:val="32"/>
          <w:szCs w:val="32"/>
          <w:lang w:val="en"/>
        </w:rPr>
        <w:t>3</w:t>
      </w:r>
      <w:r>
        <w:rPr>
          <w:rFonts w:hint="default" w:ascii="TimesNewRoman" w:hAnsi="TimesNewRoman" w:eastAsia="黑体" w:cs="TimesNewRoman"/>
          <w:sz w:val="32"/>
          <w:szCs w:val="32"/>
        </w:rPr>
        <w:t>年一般公共预算基本支出表的说明</w:t>
      </w:r>
    </w:p>
    <w:p>
      <w:pPr>
        <w:keepNext w:val="0"/>
        <w:keepLines w:val="0"/>
        <w:pageBreakBefore w:val="0"/>
        <w:kinsoku/>
        <w:overflowPunct/>
        <w:topLinePunct w:val="0"/>
        <w:autoSpaceDE/>
        <w:autoSpaceDN/>
        <w:bidi w:val="0"/>
        <w:spacing w:line="560" w:lineRule="exact"/>
        <w:ind w:firstLine="640" w:firstLineChars="200"/>
        <w:rPr>
          <w:rFonts w:hint="default" w:ascii="TimesNewRoman" w:hAnsi="TimesNewRoman" w:cs="TimesNewRoman"/>
          <w:szCs w:val="32"/>
        </w:rPr>
      </w:pPr>
      <w:r>
        <w:rPr>
          <w:rFonts w:hint="default" w:ascii="TimesNewRoman" w:hAnsi="TimesNewRoman" w:eastAsia="仿宋_GB2312" w:cs="TimesNewRoman"/>
          <w:sz w:val="32"/>
          <w:szCs w:val="32"/>
        </w:rPr>
        <w:t>中国致公党安庆市委员会</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年一般公共预算基本支出</w:t>
      </w:r>
      <w:r>
        <w:rPr>
          <w:rFonts w:hint="eastAsia" w:ascii="TimesNewRoman" w:hAnsi="TimesNewRoman" w:cs="TimesNewRoman"/>
          <w:szCs w:val="32"/>
          <w:lang w:val="en-US" w:eastAsia="zh-CN"/>
        </w:rPr>
        <w:t>40.52</w:t>
      </w:r>
      <w:r>
        <w:rPr>
          <w:rFonts w:hint="default" w:ascii="TimesNewRoman" w:hAnsi="TimesNewRoman" w:cs="TimesNewRoman"/>
          <w:szCs w:val="32"/>
        </w:rPr>
        <w:t>万元，其中，人员经费</w:t>
      </w:r>
      <w:r>
        <w:rPr>
          <w:rFonts w:hint="eastAsia" w:ascii="TimesNewRoman" w:hAnsi="TimesNewRoman" w:cs="TimesNewRoman"/>
          <w:szCs w:val="32"/>
          <w:lang w:val="en-US" w:eastAsia="zh-CN"/>
        </w:rPr>
        <w:t>31.42</w:t>
      </w:r>
      <w:r>
        <w:rPr>
          <w:rFonts w:hint="default" w:ascii="TimesNewRoman" w:hAnsi="TimesNewRoman" w:cs="TimesNewRoman"/>
          <w:szCs w:val="32"/>
        </w:rPr>
        <w:t>万元，公用经费</w:t>
      </w:r>
      <w:r>
        <w:rPr>
          <w:rFonts w:hint="eastAsia" w:ascii="TimesNewRoman" w:hAnsi="TimesNewRoman" w:cs="TimesNewRoman"/>
          <w:szCs w:val="32"/>
          <w:lang w:val="en-US" w:eastAsia="zh-CN"/>
        </w:rPr>
        <w:t>9.1</w:t>
      </w:r>
      <w:r>
        <w:rPr>
          <w:rFonts w:hint="default" w:ascii="TimesNewRoman" w:hAnsi="TimesNewRoman" w:cs="TimesNewRoman"/>
          <w:szCs w:val="32"/>
        </w:rPr>
        <w:t>万元。</w:t>
      </w:r>
    </w:p>
    <w:p>
      <w:pPr>
        <w:keepNext w:val="0"/>
        <w:keepLines w:val="0"/>
        <w:pageBreakBefore w:val="0"/>
        <w:numPr>
          <w:ilvl w:val="0"/>
          <w:numId w:val="2"/>
        </w:numPr>
        <w:kinsoku/>
        <w:overflowPunct/>
        <w:topLinePunct w:val="0"/>
        <w:autoSpaceDE/>
        <w:autoSpaceDN/>
        <w:bidi w:val="0"/>
        <w:spacing w:line="560" w:lineRule="exact"/>
        <w:ind w:firstLine="640" w:firstLineChars="200"/>
        <w:rPr>
          <w:rFonts w:hint="default" w:ascii="TimesNewRoman" w:hAnsi="TimesNewRoman" w:cs="TimesNewRoman"/>
          <w:szCs w:val="32"/>
          <w:u w:val="none"/>
        </w:rPr>
      </w:pPr>
      <w:r>
        <w:rPr>
          <w:rFonts w:hint="default" w:ascii="TimesNewRoman" w:hAnsi="TimesNewRoman" w:cs="TimesNewRoman"/>
          <w:szCs w:val="32"/>
        </w:rPr>
        <w:t>人员经费</w:t>
      </w:r>
      <w:r>
        <w:rPr>
          <w:rFonts w:hint="eastAsia" w:ascii="TimesNewRoman" w:hAnsi="TimesNewRoman" w:cs="TimesNewRoman"/>
          <w:szCs w:val="32"/>
          <w:lang w:val="en-US" w:eastAsia="zh-CN"/>
        </w:rPr>
        <w:t>31.42</w:t>
      </w:r>
      <w:r>
        <w:rPr>
          <w:rFonts w:hint="default" w:ascii="TimesNewRoman" w:hAnsi="TimesNewRoman" w:cs="TimesNewRoman"/>
          <w:szCs w:val="32"/>
        </w:rPr>
        <w:t>万元，主要包括:</w:t>
      </w:r>
      <w:r>
        <w:rPr>
          <w:rFonts w:hint="default" w:ascii="TimesNewRoman" w:hAnsi="TimesNewRoman" w:cs="TimesNewRoman"/>
          <w:szCs w:val="32"/>
          <w:u w:val="none"/>
        </w:rPr>
        <w:t>基本工资、津贴补贴、奖金、机关事业单位基本养老保险费、职业年金缴费、职工基本医疗保险缴费、公务员医疗补助缴费、其他社会保障缴费、住房公积金</w:t>
      </w:r>
      <w:r>
        <w:rPr>
          <w:rFonts w:hint="eastAsia" w:ascii="TimesNewRoman" w:hAnsi="TimesNewRoman" w:cs="TimesNewRoman"/>
          <w:szCs w:val="32"/>
          <w:u w:val="none"/>
          <w:lang w:eastAsia="zh-CN"/>
        </w:rPr>
        <w:t>、</w:t>
      </w:r>
      <w:r>
        <w:rPr>
          <w:rFonts w:hint="default" w:ascii="TimesNewRoman" w:hAnsi="TimesNewRoman" w:cs="TimesNewRoman"/>
          <w:szCs w:val="32"/>
          <w:u w:val="none"/>
        </w:rPr>
        <w:t>工会经费、福利费</w:t>
      </w:r>
      <w:r>
        <w:rPr>
          <w:rFonts w:hint="eastAsia" w:ascii="TimesNewRoman" w:hAnsi="TimesNewRoman" w:cs="TimesNewRoman"/>
          <w:szCs w:val="32"/>
          <w:u w:val="none"/>
          <w:lang w:eastAsia="zh-CN"/>
        </w:rPr>
        <w:t>。</w:t>
      </w:r>
    </w:p>
    <w:p>
      <w:pPr>
        <w:keepNext w:val="0"/>
        <w:keepLines w:val="0"/>
        <w:pageBreakBefore w:val="0"/>
        <w:numPr>
          <w:ilvl w:val="0"/>
          <w:numId w:val="2"/>
        </w:numPr>
        <w:kinsoku/>
        <w:overflowPunct/>
        <w:topLinePunct w:val="0"/>
        <w:autoSpaceDE/>
        <w:autoSpaceDN/>
        <w:bidi w:val="0"/>
        <w:spacing w:line="560" w:lineRule="exact"/>
        <w:ind w:left="0" w:leftChars="0" w:firstLine="640" w:firstLineChars="200"/>
        <w:rPr>
          <w:rFonts w:hint="default" w:ascii="TimesNewRoman" w:hAnsi="TimesNewRoman" w:cs="TimesNewRoman"/>
          <w:szCs w:val="32"/>
          <w:u w:val="none"/>
        </w:rPr>
      </w:pPr>
      <w:r>
        <w:rPr>
          <w:rFonts w:hint="default" w:ascii="TimesNewRoman" w:hAnsi="TimesNewRoman" w:cs="TimesNewRoman"/>
          <w:szCs w:val="32"/>
        </w:rPr>
        <w:t>公用经费</w:t>
      </w:r>
      <w:r>
        <w:rPr>
          <w:rFonts w:hint="eastAsia" w:ascii="TimesNewRoman" w:hAnsi="TimesNewRoman" w:cs="TimesNewRoman"/>
          <w:szCs w:val="32"/>
          <w:lang w:val="en-US" w:eastAsia="zh-CN"/>
        </w:rPr>
        <w:t>9.1</w:t>
      </w:r>
      <w:r>
        <w:rPr>
          <w:rFonts w:hint="default" w:ascii="TimesNewRoman" w:hAnsi="TimesNewRoman" w:cs="TimesNewRoman"/>
          <w:szCs w:val="32"/>
        </w:rPr>
        <w:t>万元，主要包括：</w:t>
      </w:r>
      <w:r>
        <w:rPr>
          <w:rFonts w:hint="default" w:ascii="TimesNewRoman" w:hAnsi="TimesNewRoman" w:cs="TimesNewRoman"/>
          <w:szCs w:val="32"/>
          <w:u w:val="none"/>
        </w:rPr>
        <w:t>办公费、邮电费、差旅费、维修（护）费、会议费、公务接待费、劳务费</w:t>
      </w:r>
      <w:r>
        <w:rPr>
          <w:rFonts w:hint="eastAsia" w:ascii="TimesNewRoman" w:hAnsi="TimesNewRoman" w:cs="TimesNewRoman"/>
          <w:szCs w:val="32"/>
          <w:u w:val="none"/>
          <w:lang w:eastAsia="zh-CN"/>
        </w:rPr>
        <w:t>、</w:t>
      </w:r>
      <w:r>
        <w:rPr>
          <w:rFonts w:hint="eastAsia" w:ascii="TimesNewRoman" w:hAnsi="TimesNewRoman" w:cs="TimesNewRoman"/>
          <w:szCs w:val="32"/>
          <w:u w:val="none"/>
          <w:lang w:val="en-US" w:eastAsia="zh-CN"/>
        </w:rPr>
        <w:t>其他交通费用、其他商品和服务支出。</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黑体" w:cs="TimesNewRoman"/>
          <w:sz w:val="32"/>
          <w:szCs w:val="32"/>
        </w:rPr>
      </w:pPr>
      <w:r>
        <w:rPr>
          <w:rFonts w:hint="default" w:ascii="TimesNewRoman" w:hAnsi="TimesNewRoman" w:eastAsia="黑体" w:cs="TimesNewRoman"/>
          <w:sz w:val="32"/>
          <w:szCs w:val="32"/>
        </w:rPr>
        <w:t>七、关于202</w:t>
      </w:r>
      <w:r>
        <w:rPr>
          <w:rFonts w:hint="default" w:ascii="TimesNewRoman" w:hAnsi="TimesNewRoman" w:eastAsia="黑体" w:cs="TimesNewRoman"/>
          <w:sz w:val="32"/>
          <w:szCs w:val="32"/>
          <w:lang w:val="en"/>
        </w:rPr>
        <w:t>3</w:t>
      </w:r>
      <w:r>
        <w:rPr>
          <w:rFonts w:hint="default" w:ascii="TimesNewRoman" w:hAnsi="TimesNewRoman" w:eastAsia="黑体" w:cs="TimesNewRoman"/>
          <w:sz w:val="32"/>
          <w:szCs w:val="32"/>
        </w:rPr>
        <w:t>年政府性基金预算支出表的说明</w:t>
      </w:r>
    </w:p>
    <w:p>
      <w:pPr>
        <w:pStyle w:val="3"/>
        <w:keepNext w:val="0"/>
        <w:keepLines w:val="0"/>
        <w:pageBreakBefore w:val="0"/>
        <w:kinsoku/>
        <w:overflowPunct/>
        <w:topLinePunct w:val="0"/>
        <w:autoSpaceDE/>
        <w:autoSpaceDN/>
        <w:bidi w:val="0"/>
        <w:adjustRightInd w:val="0"/>
        <w:snapToGrid w:val="0"/>
        <w:spacing w:line="560" w:lineRule="exact"/>
        <w:ind w:firstLine="480" w:firstLineChars="150"/>
        <w:outlineLvl w:val="0"/>
        <w:rPr>
          <w:rFonts w:hint="default" w:ascii="TimesNewRoman" w:hAnsi="TimesNewRoman" w:eastAsia="仿宋_GB2312" w:cs="TimesNewRoman"/>
          <w:sz w:val="32"/>
          <w:szCs w:val="32"/>
        </w:rPr>
      </w:pPr>
      <w:r>
        <w:rPr>
          <w:rFonts w:hint="default" w:ascii="TimesNewRoman" w:hAnsi="TimesNewRoman" w:eastAsia="仿宋_GB2312" w:cs="TimesNewRoman"/>
          <w:sz w:val="32"/>
          <w:szCs w:val="32"/>
        </w:rPr>
        <w:t>中国致公党安庆市委员会202</w:t>
      </w:r>
      <w:r>
        <w:rPr>
          <w:rFonts w:hint="default" w:ascii="TimesNewRoman" w:hAnsi="TimesNewRoman" w:eastAsia="仿宋_GB2312" w:cs="TimesNewRoman"/>
          <w:sz w:val="32"/>
          <w:szCs w:val="32"/>
          <w:lang w:val="en"/>
        </w:rPr>
        <w:t>3</w:t>
      </w:r>
      <w:r>
        <w:rPr>
          <w:rFonts w:hint="default" w:ascii="TimesNewRoman" w:hAnsi="TimesNewRoman" w:eastAsia="仿宋_GB2312" w:cs="TimesNewRoman"/>
          <w:sz w:val="32"/>
          <w:szCs w:val="32"/>
        </w:rPr>
        <w:t>年没有政府性基金预算拨款收入，也没有使用政府性基金预算拨款安排的支出。</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黑体" w:cs="TimesNewRoman"/>
          <w:sz w:val="32"/>
          <w:szCs w:val="32"/>
        </w:rPr>
      </w:pPr>
      <w:r>
        <w:rPr>
          <w:rFonts w:hint="default" w:ascii="TimesNewRoman" w:hAnsi="TimesNewRoman" w:eastAsia="黑体" w:cs="TimesNewRoman"/>
          <w:sz w:val="32"/>
          <w:szCs w:val="32"/>
        </w:rPr>
        <w:t>八、关于202</w:t>
      </w:r>
      <w:r>
        <w:rPr>
          <w:rFonts w:hint="default" w:ascii="TimesNewRoman" w:hAnsi="TimesNewRoman" w:eastAsia="黑体" w:cs="TimesNewRoman"/>
          <w:sz w:val="32"/>
          <w:szCs w:val="32"/>
          <w:lang w:val="en"/>
        </w:rPr>
        <w:t>3</w:t>
      </w:r>
      <w:r>
        <w:rPr>
          <w:rFonts w:hint="default" w:ascii="TimesNewRoman" w:hAnsi="TimesNewRoman" w:eastAsia="黑体" w:cs="TimesNewRoman"/>
          <w:sz w:val="32"/>
          <w:szCs w:val="32"/>
        </w:rPr>
        <w:t>年国有资本经营预算支出表的说明</w:t>
      </w:r>
    </w:p>
    <w:p>
      <w:pPr>
        <w:pStyle w:val="3"/>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NewRoman" w:hAnsi="TimesNewRoman" w:eastAsia="仿宋_GB2312" w:cs="TimesNewRoman"/>
          <w:sz w:val="32"/>
          <w:szCs w:val="32"/>
        </w:rPr>
      </w:pPr>
      <w:r>
        <w:rPr>
          <w:rFonts w:hint="default" w:ascii="TimesNewRoman" w:hAnsi="TimesNewRoman" w:eastAsia="仿宋_GB2312" w:cs="TimesNewRoman"/>
          <w:sz w:val="32"/>
          <w:szCs w:val="32"/>
        </w:rPr>
        <w:t>中国致公党安庆市委员会202</w:t>
      </w:r>
      <w:r>
        <w:rPr>
          <w:rFonts w:hint="default" w:ascii="TimesNewRoman" w:hAnsi="TimesNewRoman" w:eastAsia="仿宋_GB2312" w:cs="TimesNewRoman"/>
          <w:sz w:val="32"/>
          <w:szCs w:val="32"/>
          <w:lang w:val="en"/>
        </w:rPr>
        <w:t>3</w:t>
      </w:r>
      <w:r>
        <w:rPr>
          <w:rFonts w:hint="default" w:ascii="TimesNewRoman" w:hAnsi="TimesNewRoman" w:eastAsia="仿宋_GB2312" w:cs="TimesNewRoman"/>
          <w:sz w:val="32"/>
          <w:szCs w:val="32"/>
        </w:rPr>
        <w:t>年没有国有资本经营预算拨款收入，也没有使用国有资本经营预算拨款安排的支出。</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黑体" w:cs="TimesNewRoman"/>
          <w:sz w:val="32"/>
          <w:szCs w:val="32"/>
        </w:rPr>
      </w:pPr>
      <w:r>
        <w:rPr>
          <w:rFonts w:hint="default" w:ascii="TimesNewRoman" w:hAnsi="TimesNewRoman" w:eastAsia="黑体" w:cs="TimesNewRoman"/>
          <w:sz w:val="32"/>
          <w:szCs w:val="32"/>
        </w:rPr>
        <w:t>九、关于202</w:t>
      </w:r>
      <w:r>
        <w:rPr>
          <w:rFonts w:hint="default" w:ascii="TimesNewRoman" w:hAnsi="TimesNewRoman" w:eastAsia="黑体" w:cs="TimesNewRoman"/>
          <w:sz w:val="32"/>
          <w:szCs w:val="32"/>
          <w:lang w:val="en"/>
        </w:rPr>
        <w:t>3</w:t>
      </w:r>
      <w:r>
        <w:rPr>
          <w:rFonts w:hint="default" w:ascii="TimesNewRoman" w:hAnsi="TimesNewRoman" w:eastAsia="黑体" w:cs="TimesNewRoman"/>
          <w:sz w:val="32"/>
          <w:szCs w:val="32"/>
        </w:rPr>
        <w:t>年项目支出表的说明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仿宋_GB2312" w:cs="TimesNewRoman"/>
          <w:sz w:val="32"/>
          <w:szCs w:val="32"/>
        </w:rPr>
      </w:pPr>
      <w:r>
        <w:rPr>
          <w:rFonts w:hint="default" w:ascii="TimesNewRoman" w:hAnsi="TimesNewRoman" w:eastAsia="仿宋_GB2312" w:cs="TimesNewRoman"/>
          <w:sz w:val="32"/>
          <w:szCs w:val="32"/>
        </w:rPr>
        <w:t>中国致公党安庆市委员会202</w:t>
      </w:r>
      <w:r>
        <w:rPr>
          <w:rFonts w:hint="default" w:ascii="TimesNewRoman" w:hAnsi="TimesNewRoman" w:eastAsia="仿宋_GB2312" w:cs="TimesNewRoman"/>
          <w:sz w:val="32"/>
          <w:szCs w:val="32"/>
          <w:lang w:val="en"/>
        </w:rPr>
        <w:t>3</w:t>
      </w:r>
      <w:r>
        <w:rPr>
          <w:rFonts w:hint="default" w:ascii="TimesNewRoman" w:hAnsi="TimesNewRoman" w:eastAsia="仿宋_GB2312" w:cs="TimesNewRoman"/>
          <w:sz w:val="32"/>
          <w:szCs w:val="32"/>
        </w:rPr>
        <w:t>年预算共安排项目支出</w:t>
      </w:r>
      <w:r>
        <w:rPr>
          <w:rFonts w:hint="eastAsia" w:ascii="TimesNewRoman" w:hAnsi="TimesNewRoman" w:eastAsia="仿宋_GB2312" w:cs="TimesNewRoman"/>
          <w:sz w:val="32"/>
          <w:szCs w:val="32"/>
          <w:lang w:val="en-US" w:eastAsia="zh-CN"/>
        </w:rPr>
        <w:t>17.9</w:t>
      </w:r>
      <w:r>
        <w:rPr>
          <w:rFonts w:hint="default" w:ascii="TimesNewRoman" w:hAnsi="TimesNewRoman" w:eastAsia="仿宋_GB2312" w:cs="TimesNewRoman"/>
          <w:sz w:val="32"/>
          <w:szCs w:val="32"/>
        </w:rPr>
        <w:t>万元，比202</w:t>
      </w:r>
      <w:r>
        <w:rPr>
          <w:rFonts w:hint="default" w:ascii="TimesNewRoman" w:hAnsi="TimesNewRoman" w:eastAsia="仿宋_GB2312" w:cs="TimesNewRoman"/>
          <w:sz w:val="32"/>
          <w:szCs w:val="32"/>
          <w:lang w:val="en"/>
        </w:rPr>
        <w:t>2</w:t>
      </w:r>
      <w:r>
        <w:rPr>
          <w:rFonts w:hint="default" w:ascii="TimesNewRoman" w:hAnsi="TimesNewRoman" w:eastAsia="仿宋_GB2312" w:cs="TimesNewRoman"/>
          <w:sz w:val="32"/>
          <w:szCs w:val="32"/>
        </w:rPr>
        <w:t>年预算减少</w:t>
      </w:r>
      <w:r>
        <w:rPr>
          <w:rFonts w:hint="eastAsia" w:ascii="TimesNewRoman" w:hAnsi="TimesNewRoman" w:eastAsia="仿宋_GB2312" w:cs="TimesNewRoman"/>
          <w:sz w:val="32"/>
          <w:szCs w:val="32"/>
          <w:lang w:val="en-US" w:eastAsia="zh-CN"/>
        </w:rPr>
        <w:t>2</w:t>
      </w:r>
      <w:r>
        <w:rPr>
          <w:rFonts w:hint="default" w:ascii="TimesNewRoman" w:hAnsi="TimesNewRoman" w:eastAsia="仿宋_GB2312" w:cs="TimesNewRoman"/>
          <w:sz w:val="32"/>
          <w:szCs w:val="32"/>
        </w:rPr>
        <w:t>万元，下降</w:t>
      </w:r>
      <w:r>
        <w:rPr>
          <w:rFonts w:hint="eastAsia" w:ascii="TimesNewRoman" w:hAnsi="TimesNewRoman" w:eastAsia="仿宋_GB2312" w:cs="TimesNewRoman"/>
          <w:sz w:val="32"/>
          <w:szCs w:val="32"/>
          <w:lang w:val="en-US" w:eastAsia="zh-CN"/>
        </w:rPr>
        <w:t>10.05</w:t>
      </w:r>
      <w:r>
        <w:rPr>
          <w:rFonts w:hint="default" w:ascii="TimesNewRoman" w:hAnsi="TimesNewRoman" w:eastAsia="仿宋_GB2312" w:cs="TimesNewRoman"/>
          <w:sz w:val="32"/>
          <w:szCs w:val="32"/>
        </w:rPr>
        <w:t>%，</w:t>
      </w:r>
      <w:r>
        <w:rPr>
          <w:rFonts w:hint="eastAsia" w:ascii="TimesNewRoman" w:hAnsi="TimesNewRoman" w:eastAsia="仿宋_GB2312" w:cs="TimesNewRoman"/>
          <w:sz w:val="32"/>
          <w:szCs w:val="32"/>
          <w:lang w:val="en-US" w:eastAsia="zh-CN"/>
        </w:rPr>
        <w:t>下降</w:t>
      </w:r>
      <w:r>
        <w:rPr>
          <w:rFonts w:hint="default" w:ascii="TimesNewRoman" w:hAnsi="TimesNewRoman" w:eastAsia="仿宋_GB2312" w:cs="TimesNewRoman"/>
          <w:sz w:val="32"/>
          <w:szCs w:val="32"/>
        </w:rPr>
        <w:t>原</w:t>
      </w:r>
      <w:r>
        <w:rPr>
          <w:rFonts w:hint="default" w:ascii="TimesNewRoman" w:hAnsi="TimesNewRoman" w:eastAsia="仿宋_GB2312" w:cs="TimesNewRoman"/>
          <w:color w:val="auto"/>
          <w:sz w:val="32"/>
          <w:szCs w:val="32"/>
        </w:rPr>
        <w:t>因主要是</w:t>
      </w:r>
      <w:r>
        <w:rPr>
          <w:rFonts w:hint="eastAsia" w:ascii="TimesNewRoman" w:hAnsi="TimesNewRoman" w:eastAsia="仿宋_GB2312" w:cs="TimesNewRoman"/>
          <w:color w:val="auto"/>
          <w:sz w:val="32"/>
          <w:szCs w:val="32"/>
          <w:lang w:val="en-US" w:eastAsia="zh-CN"/>
        </w:rPr>
        <w:t>减少项目经费</w:t>
      </w:r>
      <w:r>
        <w:rPr>
          <w:rFonts w:hint="default" w:ascii="TimesNewRoman" w:hAnsi="TimesNewRoman" w:eastAsia="仿宋_GB2312" w:cs="TimesNewRoman"/>
          <w:color w:val="auto"/>
          <w:sz w:val="32"/>
          <w:szCs w:val="32"/>
        </w:rPr>
        <w:t>。主</w:t>
      </w:r>
      <w:r>
        <w:rPr>
          <w:rFonts w:hint="default" w:ascii="TimesNewRoman" w:hAnsi="TimesNewRoman" w:eastAsia="仿宋_GB2312" w:cs="TimesNewRoman"/>
          <w:sz w:val="32"/>
          <w:szCs w:val="32"/>
        </w:rPr>
        <w:t>要包括：本年财政拨款安排</w:t>
      </w:r>
      <w:r>
        <w:rPr>
          <w:rFonts w:hint="eastAsia" w:ascii="TimesNewRoman" w:hAnsi="TimesNewRoman" w:eastAsia="仿宋_GB2312" w:cs="TimesNewRoman"/>
          <w:sz w:val="32"/>
          <w:szCs w:val="32"/>
          <w:lang w:val="en-US" w:eastAsia="zh-CN"/>
        </w:rPr>
        <w:t>17.9</w:t>
      </w:r>
      <w:r>
        <w:rPr>
          <w:rFonts w:hint="default" w:ascii="TimesNewRoman" w:hAnsi="TimesNewRoman" w:eastAsia="仿宋_GB2312" w:cs="TimesNewRoman"/>
          <w:sz w:val="32"/>
          <w:szCs w:val="32"/>
        </w:rPr>
        <w:t>万元（其中，一般公共预算拨款安排</w:t>
      </w:r>
      <w:r>
        <w:rPr>
          <w:rFonts w:hint="eastAsia" w:ascii="TimesNewRoman" w:hAnsi="TimesNewRoman" w:eastAsia="仿宋_GB2312" w:cs="TimesNewRoman"/>
          <w:sz w:val="32"/>
          <w:szCs w:val="32"/>
          <w:lang w:val="en-US" w:eastAsia="zh-CN"/>
        </w:rPr>
        <w:t>17.9</w:t>
      </w:r>
      <w:r>
        <w:rPr>
          <w:rFonts w:hint="default" w:ascii="TimesNewRoman" w:hAnsi="TimesNewRoman" w:eastAsia="仿宋_GB2312" w:cs="TimesNewRoman"/>
          <w:sz w:val="32"/>
          <w:szCs w:val="32"/>
        </w:rPr>
        <w:t>万元，政府性基金预算拨款安排</w:t>
      </w:r>
      <w:r>
        <w:rPr>
          <w:rFonts w:hint="eastAsia" w:ascii="TimesNewRoman" w:hAnsi="TimesNewRoman" w:eastAsia="仿宋_GB2312" w:cs="TimesNewRoman"/>
          <w:sz w:val="32"/>
          <w:szCs w:val="32"/>
          <w:lang w:val="en-US" w:eastAsia="zh-CN"/>
        </w:rPr>
        <w:t>0</w:t>
      </w:r>
      <w:r>
        <w:rPr>
          <w:rFonts w:hint="default" w:ascii="TimesNewRoman" w:hAnsi="TimesNewRoman" w:eastAsia="仿宋_GB2312" w:cs="TimesNewRoman"/>
          <w:sz w:val="32"/>
          <w:szCs w:val="32"/>
        </w:rPr>
        <w:t>万元，国有资本经营预算拨款安排</w:t>
      </w:r>
      <w:r>
        <w:rPr>
          <w:rFonts w:hint="eastAsia" w:ascii="TimesNewRoman" w:hAnsi="TimesNewRoman" w:eastAsia="仿宋_GB2312" w:cs="TimesNewRoman"/>
          <w:sz w:val="32"/>
          <w:szCs w:val="32"/>
          <w:lang w:val="en-US" w:eastAsia="zh-CN"/>
        </w:rPr>
        <w:t>0</w:t>
      </w:r>
      <w:r>
        <w:rPr>
          <w:rFonts w:hint="default" w:ascii="TimesNewRoman" w:hAnsi="TimesNewRoman" w:eastAsia="仿宋_GB2312" w:cs="TimesNewRoman"/>
          <w:sz w:val="32"/>
          <w:szCs w:val="32"/>
        </w:rPr>
        <w:t>万元），财政拨款</w:t>
      </w:r>
      <w:r>
        <w:rPr>
          <w:rFonts w:hint="eastAsia" w:ascii="TimesNewRoman" w:hAnsi="TimesNewRoman" w:eastAsia="仿宋_GB2312" w:cs="TimesNewRoman"/>
          <w:sz w:val="32"/>
          <w:szCs w:val="32"/>
          <w:lang w:eastAsia="zh-CN"/>
        </w:rPr>
        <w:t>上年</w:t>
      </w:r>
      <w:r>
        <w:rPr>
          <w:rFonts w:hint="default" w:ascii="TimesNewRoman" w:hAnsi="TimesNewRoman" w:eastAsia="仿宋_GB2312" w:cs="TimesNewRoman"/>
          <w:sz w:val="32"/>
          <w:szCs w:val="32"/>
        </w:rPr>
        <w:t xml:space="preserve">结转安排 </w:t>
      </w:r>
      <w:r>
        <w:rPr>
          <w:rFonts w:hint="eastAsia" w:ascii="TimesNewRoman" w:hAnsi="TimesNewRoman" w:eastAsia="仿宋_GB2312" w:cs="TimesNewRoman"/>
          <w:sz w:val="32"/>
          <w:szCs w:val="32"/>
          <w:lang w:val="en-US" w:eastAsia="zh-CN"/>
        </w:rPr>
        <w:t>0</w:t>
      </w:r>
      <w:r>
        <w:rPr>
          <w:rFonts w:hint="default" w:ascii="TimesNewRoman" w:hAnsi="TimesNewRoman" w:eastAsia="仿宋_GB2312" w:cs="TimesNewRoman"/>
          <w:sz w:val="32"/>
          <w:szCs w:val="32"/>
        </w:rPr>
        <w:t>万元（其中，一般公共预算拨款安排</w:t>
      </w:r>
      <w:r>
        <w:rPr>
          <w:rFonts w:hint="eastAsia" w:ascii="TimesNewRoman" w:hAnsi="TimesNewRoman" w:eastAsia="仿宋_GB2312" w:cs="TimesNewRoman"/>
          <w:sz w:val="32"/>
          <w:szCs w:val="32"/>
          <w:lang w:val="en-US" w:eastAsia="zh-CN"/>
        </w:rPr>
        <w:t>0</w:t>
      </w:r>
      <w:r>
        <w:rPr>
          <w:rFonts w:hint="default" w:ascii="TimesNewRoman" w:hAnsi="TimesNewRoman" w:eastAsia="仿宋_GB2312" w:cs="TimesNewRoman"/>
          <w:sz w:val="32"/>
          <w:szCs w:val="32"/>
        </w:rPr>
        <w:t>万元，政府性基金预算拨款安排</w:t>
      </w:r>
      <w:r>
        <w:rPr>
          <w:rFonts w:hint="eastAsia" w:ascii="TimesNewRoman" w:hAnsi="TimesNewRoman" w:eastAsia="仿宋_GB2312" w:cs="TimesNewRoman"/>
          <w:sz w:val="32"/>
          <w:szCs w:val="32"/>
          <w:lang w:val="en-US" w:eastAsia="zh-CN"/>
        </w:rPr>
        <w:t>0</w:t>
      </w:r>
      <w:r>
        <w:rPr>
          <w:rFonts w:hint="default" w:ascii="TimesNewRoman" w:hAnsi="TimesNewRoman" w:eastAsia="仿宋_GB2312" w:cs="TimesNewRoman"/>
          <w:sz w:val="32"/>
          <w:szCs w:val="32"/>
        </w:rPr>
        <w:t>万元，国有资本经营预算拨款安排</w:t>
      </w:r>
      <w:r>
        <w:rPr>
          <w:rFonts w:hint="eastAsia" w:ascii="TimesNewRoman" w:hAnsi="TimesNewRoman" w:eastAsia="仿宋_GB2312" w:cs="TimesNewRoman"/>
          <w:sz w:val="32"/>
          <w:szCs w:val="32"/>
          <w:lang w:val="en-US" w:eastAsia="zh-CN"/>
        </w:rPr>
        <w:t>0</w:t>
      </w:r>
      <w:r>
        <w:rPr>
          <w:rFonts w:hint="default" w:ascii="TimesNewRoman" w:hAnsi="TimesNewRoman" w:eastAsia="仿宋_GB2312" w:cs="TimesNewRoman"/>
          <w:sz w:val="32"/>
          <w:szCs w:val="32"/>
        </w:rPr>
        <w:t>万元）、财政专户管理资金安排</w:t>
      </w:r>
      <w:r>
        <w:rPr>
          <w:rFonts w:hint="eastAsia" w:ascii="TimesNewRoman" w:hAnsi="TimesNewRoman" w:eastAsia="仿宋_GB2312" w:cs="TimesNewRoman"/>
          <w:sz w:val="32"/>
          <w:szCs w:val="32"/>
          <w:lang w:val="en-US" w:eastAsia="zh-CN"/>
        </w:rPr>
        <w:t>0</w:t>
      </w:r>
      <w:r>
        <w:rPr>
          <w:rFonts w:hint="default" w:ascii="TimesNewRoman" w:hAnsi="TimesNewRoman" w:eastAsia="仿宋_GB2312" w:cs="TimesNewRoman"/>
          <w:sz w:val="32"/>
          <w:szCs w:val="32"/>
        </w:rPr>
        <w:t>万元和单位资金安排</w:t>
      </w:r>
      <w:r>
        <w:rPr>
          <w:rFonts w:hint="eastAsia" w:ascii="TimesNewRoman" w:hAnsi="TimesNewRoman" w:eastAsia="仿宋_GB2312" w:cs="TimesNewRoman"/>
          <w:sz w:val="32"/>
          <w:szCs w:val="32"/>
          <w:lang w:val="en-US" w:eastAsia="zh-CN"/>
        </w:rPr>
        <w:t>0</w:t>
      </w:r>
      <w:r>
        <w:rPr>
          <w:rFonts w:hint="default" w:ascii="TimesNewRoman" w:hAnsi="TimesNewRoman" w:eastAsia="仿宋_GB2312" w:cs="TimesNewRoman"/>
          <w:sz w:val="32"/>
          <w:szCs w:val="32"/>
        </w:rPr>
        <w:t>万元。</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黑体" w:cs="TimesNewRoman"/>
          <w:sz w:val="32"/>
          <w:szCs w:val="32"/>
        </w:rPr>
      </w:pPr>
      <w:r>
        <w:rPr>
          <w:rFonts w:hint="default" w:ascii="TimesNewRoman" w:hAnsi="TimesNewRoman" w:eastAsia="黑体" w:cs="TimesNewRoman"/>
          <w:sz w:val="32"/>
          <w:szCs w:val="32"/>
        </w:rPr>
        <w:t>十、关于202</w:t>
      </w:r>
      <w:r>
        <w:rPr>
          <w:rFonts w:hint="default" w:ascii="TimesNewRoman" w:hAnsi="TimesNewRoman" w:eastAsia="黑体" w:cs="TimesNewRoman"/>
          <w:sz w:val="32"/>
          <w:szCs w:val="32"/>
          <w:lang w:val="en"/>
        </w:rPr>
        <w:t>3</w:t>
      </w:r>
      <w:r>
        <w:rPr>
          <w:rFonts w:hint="default" w:ascii="TimesNewRoman" w:hAnsi="TimesNewRoman" w:eastAsia="黑体" w:cs="TimesNewRoman"/>
          <w:sz w:val="32"/>
          <w:szCs w:val="32"/>
        </w:rPr>
        <w:t>年政府采购支出表的说明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outlineLvl w:val="0"/>
        <w:rPr>
          <w:rFonts w:hint="default" w:ascii="TimesNewRoman" w:hAnsi="TimesNewRoman" w:eastAsia="仿宋_GB2312" w:cs="TimesNewRoman"/>
          <w:sz w:val="32"/>
          <w:szCs w:val="32"/>
        </w:rPr>
      </w:pPr>
      <w:r>
        <w:rPr>
          <w:rFonts w:hint="default" w:ascii="TimesNewRoman" w:hAnsi="TimesNewRoman" w:eastAsia="仿宋_GB2312" w:cs="TimesNewRoman"/>
          <w:sz w:val="32"/>
          <w:szCs w:val="32"/>
        </w:rPr>
        <w:t>中国致公党安庆市委员会202</w:t>
      </w:r>
      <w:r>
        <w:rPr>
          <w:rFonts w:hint="default" w:ascii="TimesNewRoman" w:hAnsi="TimesNewRoman" w:eastAsia="仿宋_GB2312" w:cs="TimesNewRoman"/>
          <w:sz w:val="32"/>
          <w:szCs w:val="32"/>
          <w:lang w:val="en"/>
        </w:rPr>
        <w:t>3</w:t>
      </w:r>
      <w:r>
        <w:rPr>
          <w:rFonts w:hint="default" w:ascii="TimesNewRoman" w:hAnsi="TimesNewRoman" w:eastAsia="仿宋_GB2312" w:cs="TimesNewRoman"/>
          <w:sz w:val="32"/>
          <w:szCs w:val="32"/>
        </w:rPr>
        <w:t>年没有使用一般公共预算拨款、政府性基金预算拨款、国有资本经营预算拨款、财政专户管理资金和单位资金安排的政府采购支出。</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eastAsia="黑体" w:cs="TimesNewRoman"/>
          <w:sz w:val="32"/>
          <w:szCs w:val="32"/>
        </w:rPr>
      </w:pPr>
      <w:r>
        <w:rPr>
          <w:rFonts w:hint="default" w:ascii="TimesNewRoman" w:hAnsi="TimesNewRoman" w:eastAsia="黑体" w:cs="TimesNewRoman"/>
          <w:sz w:val="32"/>
          <w:szCs w:val="32"/>
        </w:rPr>
        <w:t>十一、关于202</w:t>
      </w:r>
      <w:r>
        <w:rPr>
          <w:rFonts w:hint="default" w:ascii="TimesNewRoman" w:hAnsi="TimesNewRoman" w:eastAsia="黑体" w:cs="TimesNewRoman"/>
          <w:sz w:val="32"/>
          <w:szCs w:val="32"/>
          <w:lang w:val="en"/>
        </w:rPr>
        <w:t>3</w:t>
      </w:r>
      <w:r>
        <w:rPr>
          <w:rFonts w:hint="default" w:ascii="TimesNewRoman" w:hAnsi="TimesNewRoman" w:eastAsia="黑体" w:cs="TimesNewRoman"/>
          <w:sz w:val="32"/>
          <w:szCs w:val="32"/>
        </w:rPr>
        <w:t>年政府购买服务支出表的说明</w:t>
      </w:r>
    </w:p>
    <w:p>
      <w:pPr>
        <w:pStyle w:val="3"/>
        <w:keepNext w:val="0"/>
        <w:keepLines w:val="0"/>
        <w:pageBreakBefore w:val="0"/>
        <w:kinsoku/>
        <w:overflowPunct/>
        <w:topLinePunct w:val="0"/>
        <w:autoSpaceDE/>
        <w:autoSpaceDN/>
        <w:bidi w:val="0"/>
        <w:adjustRightInd w:val="0"/>
        <w:snapToGrid w:val="0"/>
        <w:spacing w:line="560" w:lineRule="exact"/>
        <w:ind w:firstLine="640" w:firstLineChars="200"/>
        <w:outlineLvl w:val="0"/>
        <w:rPr>
          <w:rFonts w:hint="default" w:ascii="TimesNewRoman" w:hAnsi="TimesNewRoman" w:eastAsia="仿宋_GB2312" w:cs="TimesNewRoman"/>
          <w:sz w:val="32"/>
          <w:szCs w:val="32"/>
        </w:rPr>
      </w:pPr>
      <w:r>
        <w:rPr>
          <w:rFonts w:hint="default" w:ascii="TimesNewRoman" w:hAnsi="TimesNewRoman" w:eastAsia="仿宋_GB2312" w:cs="TimesNewRoman"/>
          <w:sz w:val="32"/>
          <w:szCs w:val="32"/>
        </w:rPr>
        <w:t>中国致公党安庆市委员会202</w:t>
      </w:r>
      <w:r>
        <w:rPr>
          <w:rFonts w:hint="default" w:ascii="TimesNewRoman" w:hAnsi="TimesNewRoman" w:eastAsia="仿宋_GB2312" w:cs="TimesNewRoman"/>
          <w:sz w:val="32"/>
          <w:szCs w:val="32"/>
          <w:lang w:val="en"/>
        </w:rPr>
        <w:t>3</w:t>
      </w:r>
      <w:r>
        <w:rPr>
          <w:rFonts w:hint="default" w:ascii="TimesNewRoman" w:hAnsi="TimesNewRoman" w:eastAsia="仿宋_GB2312" w:cs="TimesNewRoman"/>
          <w:sz w:val="32"/>
          <w:szCs w:val="32"/>
        </w:rPr>
        <w:t>年没有安排政府购买服务支出。</w:t>
      </w:r>
    </w:p>
    <w:p>
      <w:pPr>
        <w:adjustRightInd w:val="0"/>
        <w:snapToGrid w:val="0"/>
        <w:spacing w:line="580" w:lineRule="exact"/>
        <w:ind w:firstLine="640" w:firstLineChars="200"/>
        <w:rPr>
          <w:rFonts w:ascii="黑体" w:hAnsi="黑体" w:eastAsia="黑体"/>
          <w:szCs w:val="32"/>
          <w:highlight w:val="none"/>
        </w:rPr>
      </w:pPr>
      <w:r>
        <w:rPr>
          <w:rFonts w:hint="eastAsia" w:ascii="黑体" w:hAnsi="黑体" w:eastAsia="黑体"/>
          <w:szCs w:val="32"/>
          <w:highlight w:val="none"/>
        </w:rPr>
        <w:t>十二、其他重要事项情况说明</w:t>
      </w:r>
    </w:p>
    <w:p>
      <w:pPr>
        <w:adjustRightInd w:val="0"/>
        <w:snapToGrid w:val="0"/>
        <w:spacing w:line="580" w:lineRule="exact"/>
        <w:ind w:firstLine="643" w:firstLineChars="200"/>
        <w:rPr>
          <w:rFonts w:hint="default" w:ascii="TimesNewRoman" w:hAnsi="TimesNewRoman" w:eastAsia="仿宋_GB2312" w:cs="TimesNewRoman"/>
          <w:b/>
          <w:kern w:val="2"/>
          <w:sz w:val="32"/>
          <w:szCs w:val="32"/>
          <w:lang w:val="en-US" w:eastAsia="zh-CN" w:bidi="ar-SA"/>
        </w:rPr>
      </w:pPr>
      <w:r>
        <w:rPr>
          <w:rFonts w:hint="eastAsia" w:ascii="TimesNewRoman" w:hAnsi="TimesNewRoman" w:eastAsia="仿宋_GB2312" w:cs="TimesNewRoman"/>
          <w:b/>
          <w:kern w:val="2"/>
          <w:sz w:val="32"/>
          <w:szCs w:val="32"/>
          <w:lang w:val="en-US" w:eastAsia="zh-CN" w:bidi="ar-SA"/>
        </w:rPr>
        <w:t>（一）项目及绩效目标情况。</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cs="TimesNewRoman"/>
          <w:b/>
          <w:szCs w:val="32"/>
        </w:rPr>
      </w:pPr>
      <w:r>
        <w:rPr>
          <w:rFonts w:hint="default" w:ascii="TimesNewRoman" w:hAnsi="TimesNewRoman" w:cs="TimesNewRoman"/>
          <w:b/>
          <w:szCs w:val="32"/>
        </w:rPr>
        <w:t>1.</w:t>
      </w:r>
      <w:r>
        <w:rPr>
          <w:rFonts w:hint="eastAsia" w:ascii="TimesNewRoman" w:hAnsi="TimesNewRoman" w:cs="TimesNewRoman"/>
          <w:b/>
          <w:szCs w:val="32"/>
        </w:rPr>
        <w:t>“</w:t>
      </w:r>
      <w:r>
        <w:rPr>
          <w:rFonts w:hint="eastAsia" w:ascii="TimesNewRoman" w:hAnsi="TimesNewRoman" w:cs="TimesNewRoman"/>
          <w:b/>
          <w:szCs w:val="32"/>
          <w:lang w:val="en-US" w:eastAsia="zh-CN"/>
        </w:rPr>
        <w:t>参政议政经费</w:t>
      </w:r>
      <w:r>
        <w:rPr>
          <w:rFonts w:hint="eastAsia" w:ascii="TimesNewRoman" w:hAnsi="TimesNewRoman" w:cs="TimesNewRoman"/>
          <w:b/>
          <w:szCs w:val="32"/>
        </w:rPr>
        <w:t>”项目。</w:t>
      </w:r>
    </w:p>
    <w:p>
      <w:pPr>
        <w:adjustRightInd w:val="0"/>
        <w:snapToGrid w:val="0"/>
        <w:spacing w:line="580" w:lineRule="exact"/>
        <w:ind w:firstLine="640" w:firstLineChars="200"/>
        <w:rPr>
          <w:rFonts w:hint="default" w:ascii="TimesNewRoman" w:hAnsi="TimesNewRoman" w:eastAsia="仿宋_GB2312" w:cs="TimesNewRoman"/>
          <w:kern w:val="2"/>
          <w:sz w:val="32"/>
          <w:szCs w:val="32"/>
          <w:lang w:val="en-US" w:eastAsia="zh-CN" w:bidi="ar-SA"/>
        </w:rPr>
      </w:pPr>
      <w:r>
        <w:rPr>
          <w:rFonts w:hint="eastAsia" w:ascii="TimesNewRoman" w:hAnsi="TimesNewRoman" w:eastAsia="仿宋_GB2312" w:cs="TimesNewRoman"/>
          <w:kern w:val="2"/>
          <w:sz w:val="32"/>
          <w:szCs w:val="32"/>
          <w:lang w:val="en-US" w:eastAsia="zh-CN" w:bidi="ar-SA"/>
        </w:rPr>
        <w:t>（</w:t>
      </w:r>
      <w:r>
        <w:rPr>
          <w:rFonts w:hint="default" w:ascii="TimesNewRoman" w:hAnsi="TimesNewRoman" w:eastAsia="仿宋_GB2312" w:cs="TimesNewRoman"/>
          <w:kern w:val="2"/>
          <w:sz w:val="32"/>
          <w:szCs w:val="32"/>
          <w:lang w:val="en-US" w:eastAsia="zh-CN" w:bidi="ar-SA"/>
        </w:rPr>
        <w:t>1</w:t>
      </w:r>
      <w:r>
        <w:rPr>
          <w:rFonts w:hint="eastAsia" w:ascii="TimesNewRoman" w:hAnsi="TimesNewRoman" w:eastAsia="仿宋_GB2312" w:cs="TimesNewRoman"/>
          <w:kern w:val="2"/>
          <w:sz w:val="32"/>
          <w:szCs w:val="32"/>
          <w:lang w:val="en-US" w:eastAsia="zh-CN" w:bidi="ar-SA"/>
        </w:rPr>
        <w:t>）项目概述。通过强化学习，着力提升参政议政的能力素质；明确要求，准确把握参政议政的原则立场；深入调研，切实提高参政议政的质量水平；注重创新，不断推动参政议政的深入发展等四个方面不断提升参政议政能力和水平，积极履行参政党职能。按照中共安庆市委、致公党安徽省委的总体部署，将致公党安庆市委员会建设成为政治坚定、理论清醒、作风过硬、制度规范的组织，为安庆经济、政治、文化、社会、生态建设献计出力。</w:t>
      </w:r>
    </w:p>
    <w:p>
      <w:pPr>
        <w:adjustRightInd w:val="0"/>
        <w:snapToGrid w:val="0"/>
        <w:spacing w:line="580" w:lineRule="exact"/>
        <w:ind w:firstLine="640" w:firstLineChars="200"/>
        <w:rPr>
          <w:rFonts w:hint="default" w:ascii="TimesNewRoman" w:hAnsi="TimesNewRoman" w:eastAsia="仿宋_GB2312" w:cs="TimesNewRoman"/>
          <w:kern w:val="2"/>
          <w:sz w:val="32"/>
          <w:szCs w:val="32"/>
          <w:lang w:val="en-US" w:eastAsia="zh-CN" w:bidi="ar-SA"/>
        </w:rPr>
      </w:pPr>
      <w:r>
        <w:rPr>
          <w:rFonts w:hint="eastAsia" w:ascii="TimesNewRoman" w:hAnsi="TimesNewRoman" w:eastAsia="仿宋_GB2312" w:cs="TimesNewRoman"/>
          <w:kern w:val="2"/>
          <w:sz w:val="32"/>
          <w:szCs w:val="32"/>
          <w:lang w:val="en-US" w:eastAsia="zh-CN" w:bidi="ar-SA"/>
        </w:rPr>
        <w:t>（</w:t>
      </w:r>
      <w:r>
        <w:rPr>
          <w:rFonts w:hint="default" w:ascii="TimesNewRoman" w:hAnsi="TimesNewRoman" w:eastAsia="仿宋_GB2312" w:cs="TimesNewRoman"/>
          <w:kern w:val="2"/>
          <w:sz w:val="32"/>
          <w:szCs w:val="32"/>
          <w:lang w:val="en-US" w:eastAsia="zh-CN" w:bidi="ar-SA"/>
        </w:rPr>
        <w:t>2</w:t>
      </w:r>
      <w:r>
        <w:rPr>
          <w:rFonts w:hint="eastAsia" w:ascii="TimesNewRoman" w:hAnsi="TimesNewRoman" w:eastAsia="仿宋_GB2312" w:cs="TimesNewRoman"/>
          <w:kern w:val="2"/>
          <w:sz w:val="32"/>
          <w:szCs w:val="32"/>
          <w:lang w:val="en-US" w:eastAsia="zh-CN" w:bidi="ar-SA"/>
        </w:rPr>
        <w:t>）立项依据。根据2020年12月21日中共中央发布的《中国共产党统一战线工作条例》第三章第十二条中规定参政议政是民主党派的基本职能之一。</w:t>
      </w:r>
    </w:p>
    <w:p>
      <w:pPr>
        <w:adjustRightInd w:val="0"/>
        <w:snapToGrid w:val="0"/>
        <w:spacing w:line="580" w:lineRule="exact"/>
        <w:ind w:firstLine="640" w:firstLineChars="200"/>
        <w:rPr>
          <w:rFonts w:hint="eastAsia" w:ascii="TimesNewRoman" w:hAnsi="TimesNewRoman" w:eastAsia="仿宋_GB2312" w:cs="TimesNewRoman"/>
          <w:kern w:val="2"/>
          <w:sz w:val="32"/>
          <w:szCs w:val="32"/>
          <w:lang w:val="en-US" w:eastAsia="zh-CN" w:bidi="ar-SA"/>
        </w:rPr>
      </w:pPr>
      <w:r>
        <w:rPr>
          <w:rFonts w:hint="eastAsia" w:ascii="TimesNewRoman" w:hAnsi="TimesNewRoman" w:eastAsia="仿宋_GB2312" w:cs="TimesNewRoman"/>
          <w:kern w:val="2"/>
          <w:sz w:val="32"/>
          <w:szCs w:val="32"/>
          <w:lang w:val="en-US" w:eastAsia="zh-CN" w:bidi="ar-SA"/>
        </w:rPr>
        <w:t>（</w:t>
      </w:r>
      <w:r>
        <w:rPr>
          <w:rFonts w:hint="default" w:ascii="TimesNewRoman" w:hAnsi="TimesNewRoman" w:eastAsia="仿宋_GB2312" w:cs="TimesNewRoman"/>
          <w:kern w:val="2"/>
          <w:sz w:val="32"/>
          <w:szCs w:val="32"/>
          <w:lang w:val="en-US" w:eastAsia="zh-CN" w:bidi="ar-SA"/>
        </w:rPr>
        <w:t>3</w:t>
      </w:r>
      <w:r>
        <w:rPr>
          <w:rFonts w:hint="eastAsia" w:ascii="TimesNewRoman" w:hAnsi="TimesNewRoman" w:eastAsia="仿宋_GB2312" w:cs="TimesNewRoman"/>
          <w:kern w:val="2"/>
          <w:sz w:val="32"/>
          <w:szCs w:val="32"/>
          <w:lang w:val="en-US" w:eastAsia="zh-CN" w:bidi="ar-SA"/>
        </w:rPr>
        <w:t>）实施主体。</w:t>
      </w:r>
      <w:r>
        <w:rPr>
          <w:rFonts w:hint="default" w:ascii="TimesNewRoman" w:hAnsi="TimesNewRoman" w:eastAsia="仿宋_GB2312" w:cs="TimesNewRoman"/>
          <w:sz w:val="32"/>
          <w:szCs w:val="32"/>
        </w:rPr>
        <w:t>中国致公党安庆市委员会</w:t>
      </w:r>
      <w:r>
        <w:rPr>
          <w:rFonts w:hint="eastAsia" w:ascii="TimesNewRoman" w:hAnsi="TimesNewRoman" w:cs="TimesNewRoman"/>
          <w:sz w:val="32"/>
          <w:szCs w:val="32"/>
          <w:lang w:eastAsia="zh-CN"/>
        </w:rPr>
        <w:t>。</w:t>
      </w:r>
    </w:p>
    <w:p>
      <w:pPr>
        <w:adjustRightInd w:val="0"/>
        <w:snapToGrid w:val="0"/>
        <w:spacing w:line="580" w:lineRule="exact"/>
        <w:ind w:firstLine="640" w:firstLineChars="200"/>
        <w:rPr>
          <w:rFonts w:hint="default" w:ascii="TimesNewRoman" w:hAnsi="TimesNewRoman" w:eastAsia="仿宋_GB2312" w:cs="TimesNewRoman"/>
          <w:kern w:val="2"/>
          <w:sz w:val="32"/>
          <w:szCs w:val="32"/>
          <w:lang w:val="en-US" w:eastAsia="zh-CN" w:bidi="ar-SA"/>
        </w:rPr>
      </w:pPr>
      <w:r>
        <w:rPr>
          <w:rFonts w:hint="eastAsia" w:ascii="TimesNewRoman" w:hAnsi="TimesNewRoman" w:eastAsia="仿宋_GB2312" w:cs="TimesNewRoman"/>
          <w:kern w:val="2"/>
          <w:sz w:val="32"/>
          <w:szCs w:val="32"/>
          <w:lang w:val="en-US" w:eastAsia="zh-CN" w:bidi="ar-SA"/>
        </w:rPr>
        <w:t>（</w:t>
      </w:r>
      <w:r>
        <w:rPr>
          <w:rFonts w:hint="default" w:ascii="TimesNewRoman" w:hAnsi="TimesNewRoman" w:eastAsia="仿宋_GB2312" w:cs="TimesNewRoman"/>
          <w:kern w:val="2"/>
          <w:sz w:val="32"/>
          <w:szCs w:val="32"/>
          <w:lang w:val="en-US" w:eastAsia="zh-CN" w:bidi="ar-SA"/>
        </w:rPr>
        <w:t>4</w:t>
      </w:r>
      <w:r>
        <w:rPr>
          <w:rFonts w:hint="eastAsia" w:ascii="TimesNewRoman" w:hAnsi="TimesNewRoman" w:eastAsia="仿宋_GB2312" w:cs="TimesNewRoman"/>
          <w:kern w:val="2"/>
          <w:sz w:val="32"/>
          <w:szCs w:val="32"/>
          <w:lang w:val="en-US" w:eastAsia="zh-CN" w:bidi="ar-SA"/>
        </w:rPr>
        <w:t>）起止时间。</w:t>
      </w:r>
      <w:r>
        <w:rPr>
          <w:rFonts w:hint="eastAsia" w:ascii="TimesNewRoman" w:hAnsi="TimesNewRoman" w:cs="TimesNewRoman"/>
          <w:kern w:val="2"/>
          <w:sz w:val="32"/>
          <w:szCs w:val="32"/>
          <w:lang w:val="en-US" w:eastAsia="zh-CN" w:bidi="ar-SA"/>
        </w:rPr>
        <w:t>2023年1月1日</w:t>
      </w:r>
      <w:bookmarkStart w:id="0" w:name="_GoBack"/>
      <w:r>
        <w:rPr>
          <w:rFonts w:hint="eastAsia" w:ascii="TimesNewRoman" w:hAnsi="TimesNewRoman" w:cs="TimesNewRoman"/>
          <w:kern w:val="2"/>
          <w:sz w:val="32"/>
          <w:szCs w:val="32"/>
          <w:lang w:val="en-US" w:eastAsia="zh-CN" w:bidi="ar-SA"/>
        </w:rPr>
        <w:t>-</w:t>
      </w:r>
      <w:bookmarkEnd w:id="0"/>
      <w:r>
        <w:rPr>
          <w:rFonts w:hint="eastAsia" w:ascii="TimesNewRoman" w:hAnsi="TimesNewRoman" w:cs="TimesNewRoman"/>
          <w:kern w:val="2"/>
          <w:sz w:val="32"/>
          <w:szCs w:val="32"/>
          <w:lang w:val="en-US" w:eastAsia="zh-CN" w:bidi="ar-SA"/>
        </w:rPr>
        <w:t>2023年12月31日。</w:t>
      </w:r>
    </w:p>
    <w:p>
      <w:pPr>
        <w:adjustRightInd w:val="0"/>
        <w:snapToGrid w:val="0"/>
        <w:spacing w:line="580" w:lineRule="exact"/>
        <w:ind w:firstLine="640" w:firstLineChars="200"/>
        <w:rPr>
          <w:rFonts w:hint="default" w:ascii="TimesNewRoman" w:hAnsi="TimesNewRoman" w:eastAsia="仿宋_GB2312" w:cs="TimesNewRoman"/>
          <w:kern w:val="2"/>
          <w:sz w:val="32"/>
          <w:szCs w:val="32"/>
          <w:lang w:val="en-US" w:eastAsia="zh-CN" w:bidi="ar-SA"/>
        </w:rPr>
      </w:pPr>
      <w:r>
        <w:rPr>
          <w:rFonts w:hint="eastAsia" w:ascii="TimesNewRoman" w:hAnsi="TimesNewRoman" w:eastAsia="仿宋_GB2312" w:cs="TimesNewRoman"/>
          <w:kern w:val="2"/>
          <w:sz w:val="32"/>
          <w:szCs w:val="32"/>
          <w:lang w:val="en-US" w:eastAsia="zh-CN" w:bidi="ar-SA"/>
        </w:rPr>
        <w:t>（</w:t>
      </w:r>
      <w:r>
        <w:rPr>
          <w:rFonts w:hint="default" w:ascii="TimesNewRoman" w:hAnsi="TimesNewRoman" w:eastAsia="仿宋_GB2312" w:cs="TimesNewRoman"/>
          <w:kern w:val="2"/>
          <w:sz w:val="32"/>
          <w:szCs w:val="32"/>
          <w:lang w:val="en-US" w:eastAsia="zh-CN" w:bidi="ar-SA"/>
        </w:rPr>
        <w:t>5</w:t>
      </w:r>
      <w:r>
        <w:rPr>
          <w:rFonts w:hint="eastAsia" w:ascii="TimesNewRoman" w:hAnsi="TimesNewRoman" w:eastAsia="仿宋_GB2312" w:cs="TimesNewRoman"/>
          <w:kern w:val="2"/>
          <w:sz w:val="32"/>
          <w:szCs w:val="32"/>
          <w:lang w:val="en-US" w:eastAsia="zh-CN" w:bidi="ar-SA"/>
        </w:rPr>
        <w:t>）项目内容。完成省委会布置的参政议政任务。围绕“十四五”规划落实、中共安庆市委市政府重点工作，结合党员专业优势，深入调查研究、积极建言献策，当好参谋助手。在省、市、区（县）“两会”平台上提交高质量提案，为助力经济社会发展贡献致公力量。完成市政协年度重点协商课题和交办的参政议政任务。组织党员聚焦社会热点和民生关切，积极撰写社情民意， 助力职能部门改进工作，增进民生福祉。</w:t>
      </w:r>
    </w:p>
    <w:p>
      <w:pPr>
        <w:adjustRightInd w:val="0"/>
        <w:snapToGrid w:val="0"/>
        <w:spacing w:line="580" w:lineRule="exact"/>
        <w:ind w:firstLine="640" w:firstLineChars="200"/>
        <w:rPr>
          <w:rFonts w:hint="default" w:ascii="TimesNewRoman" w:hAnsi="TimesNewRoman" w:eastAsia="仿宋_GB2312" w:cs="TimesNewRoman"/>
          <w:color w:val="auto"/>
          <w:kern w:val="2"/>
          <w:sz w:val="32"/>
          <w:szCs w:val="32"/>
          <w:lang w:val="en-US" w:eastAsia="zh-CN" w:bidi="ar-SA"/>
        </w:rPr>
      </w:pPr>
      <w:r>
        <w:rPr>
          <w:rFonts w:hint="eastAsia" w:ascii="TimesNewRoman" w:hAnsi="TimesNewRoman" w:eastAsia="仿宋_GB2312" w:cs="TimesNewRoman"/>
          <w:kern w:val="2"/>
          <w:sz w:val="32"/>
          <w:szCs w:val="32"/>
          <w:lang w:val="en-US" w:eastAsia="zh-CN" w:bidi="ar-SA"/>
        </w:rPr>
        <w:t>（</w:t>
      </w:r>
      <w:r>
        <w:rPr>
          <w:rFonts w:hint="default" w:ascii="TimesNewRoman" w:hAnsi="TimesNewRoman" w:eastAsia="仿宋_GB2312" w:cs="TimesNewRoman"/>
          <w:kern w:val="2"/>
          <w:sz w:val="32"/>
          <w:szCs w:val="32"/>
          <w:lang w:val="en-US" w:eastAsia="zh-CN" w:bidi="ar-SA"/>
        </w:rPr>
        <w:t>6</w:t>
      </w:r>
      <w:r>
        <w:rPr>
          <w:rFonts w:hint="eastAsia" w:ascii="TimesNewRoman" w:hAnsi="TimesNewRoman" w:eastAsia="仿宋_GB2312" w:cs="TimesNewRoman"/>
          <w:kern w:val="2"/>
          <w:sz w:val="32"/>
          <w:szCs w:val="32"/>
          <w:lang w:val="en-US" w:eastAsia="zh-CN" w:bidi="ar-SA"/>
        </w:rPr>
        <w:t>）年度预算安排。</w:t>
      </w:r>
      <w:r>
        <w:rPr>
          <w:rFonts w:hint="eastAsia" w:ascii="TimesNewRoman" w:hAnsi="TimesNewRoman" w:cs="TimesNewRoman"/>
          <w:kern w:val="2"/>
          <w:sz w:val="32"/>
          <w:szCs w:val="32"/>
          <w:lang w:val="en-US" w:eastAsia="zh-CN" w:bidi="ar-SA"/>
        </w:rPr>
        <w:t>2023年预算安排</w:t>
      </w:r>
      <w:r>
        <w:rPr>
          <w:rFonts w:hint="eastAsia" w:ascii="TimesNewRoman" w:hAnsi="TimesNewRoman" w:cs="TimesNewRoman"/>
          <w:color w:val="auto"/>
          <w:kern w:val="2"/>
          <w:sz w:val="32"/>
          <w:szCs w:val="32"/>
          <w:lang w:val="en-US" w:eastAsia="zh-CN" w:bidi="ar-SA"/>
        </w:rPr>
        <w:t>7.9万元。</w:t>
      </w:r>
    </w:p>
    <w:p>
      <w:pPr>
        <w:adjustRightInd w:val="0"/>
        <w:snapToGrid w:val="0"/>
        <w:spacing w:line="580" w:lineRule="exact"/>
        <w:ind w:firstLine="640" w:firstLineChars="200"/>
        <w:rPr>
          <w:rFonts w:hint="default" w:ascii="TimesNewRoman" w:hAnsi="TimesNewRoman" w:eastAsia="仿宋_GB2312" w:cs="TimesNewRoman"/>
          <w:kern w:val="2"/>
          <w:sz w:val="32"/>
          <w:szCs w:val="32"/>
          <w:lang w:val="en-US" w:eastAsia="zh-CN" w:bidi="ar-SA"/>
        </w:rPr>
      </w:pPr>
      <w:r>
        <w:rPr>
          <w:rFonts w:hint="eastAsia" w:ascii="TimesNewRoman" w:hAnsi="TimesNewRoman" w:eastAsia="仿宋_GB2312" w:cs="TimesNewRoman"/>
          <w:color w:val="auto"/>
          <w:kern w:val="2"/>
          <w:sz w:val="32"/>
          <w:szCs w:val="32"/>
          <w:lang w:val="en-US" w:eastAsia="zh-CN" w:bidi="ar-SA"/>
        </w:rPr>
        <w:t>（</w:t>
      </w:r>
      <w:r>
        <w:rPr>
          <w:rFonts w:hint="default" w:ascii="TimesNewRoman" w:hAnsi="TimesNewRoman" w:eastAsia="仿宋_GB2312" w:cs="TimesNewRoman"/>
          <w:color w:val="auto"/>
          <w:kern w:val="2"/>
          <w:sz w:val="32"/>
          <w:szCs w:val="32"/>
          <w:lang w:val="en-US" w:eastAsia="zh-CN" w:bidi="ar-SA"/>
        </w:rPr>
        <w:t>7</w:t>
      </w:r>
      <w:r>
        <w:rPr>
          <w:rFonts w:hint="eastAsia" w:ascii="TimesNewRoman" w:hAnsi="TimesNewRoman" w:eastAsia="仿宋_GB2312" w:cs="TimesNewRoman"/>
          <w:color w:val="auto"/>
          <w:kern w:val="2"/>
          <w:sz w:val="32"/>
          <w:szCs w:val="32"/>
          <w:lang w:val="en-US" w:eastAsia="zh-CN" w:bidi="ar-SA"/>
        </w:rPr>
        <w:t>）绩效目标。完成省委会布置的参政议政任</w:t>
      </w:r>
      <w:r>
        <w:rPr>
          <w:rFonts w:hint="eastAsia" w:ascii="TimesNewRoman" w:hAnsi="TimesNewRoman" w:eastAsia="仿宋_GB2312" w:cs="TimesNewRoman"/>
          <w:kern w:val="2"/>
          <w:sz w:val="32"/>
          <w:szCs w:val="32"/>
          <w:lang w:val="en-US" w:eastAsia="zh-CN" w:bidi="ar-SA"/>
        </w:rPr>
        <w:t>务。围绕“十四五”规划落实、中共安庆市委市政府重点工作，结合党员专业优势，深入调查研究、积极建言献策，当好参谋助手。在省、市、区（县）“两会”平台上提交高质量提案，为助力经济社会发展贡献致公力量。完成市政协年度重点协商课题和交办的参政议政任务。组织党员聚焦社会热点和民生关切，积极撰写社情民意，助力职能部门改进工作，增进民生福祉。</w:t>
      </w:r>
    </w:p>
    <w:p>
      <w:pPr>
        <w:adjustRightInd w:val="0"/>
        <w:snapToGrid w:val="0"/>
        <w:spacing w:line="600" w:lineRule="exact"/>
        <w:ind w:firstLine="640" w:firstLineChars="200"/>
        <w:rPr>
          <w:rFonts w:ascii="仿宋_GB2312" w:hAnsi="楷体"/>
          <w:szCs w:val="32"/>
          <w:highlight w:val="none"/>
        </w:rPr>
      </w:pPr>
    </w:p>
    <w:p>
      <w:pPr>
        <w:adjustRightInd w:val="0"/>
        <w:snapToGrid w:val="0"/>
        <w:spacing w:line="600" w:lineRule="exact"/>
        <w:ind w:firstLine="640" w:firstLineChars="200"/>
        <w:rPr>
          <w:rFonts w:ascii="仿宋_GB2312" w:hAnsi="楷体"/>
          <w:szCs w:val="32"/>
          <w:highlight w:val="none"/>
        </w:rPr>
      </w:pPr>
    </w:p>
    <w:p>
      <w:pPr>
        <w:adjustRightInd w:val="0"/>
        <w:snapToGrid w:val="0"/>
        <w:spacing w:line="600" w:lineRule="exact"/>
        <w:ind w:firstLine="640" w:firstLineChars="200"/>
        <w:rPr>
          <w:rFonts w:ascii="仿宋_GB2312" w:hAnsi="楷体"/>
          <w:szCs w:val="32"/>
          <w:highlight w:val="none"/>
        </w:rPr>
      </w:pPr>
    </w:p>
    <w:p>
      <w:pPr>
        <w:adjustRightInd w:val="0"/>
        <w:snapToGrid w:val="0"/>
        <w:spacing w:line="600" w:lineRule="exact"/>
        <w:ind w:firstLine="640" w:firstLineChars="200"/>
        <w:rPr>
          <w:rFonts w:ascii="仿宋_GB2312" w:hAnsi="楷体"/>
          <w:szCs w:val="32"/>
          <w:highlight w:val="none"/>
        </w:rPr>
      </w:pPr>
    </w:p>
    <w:p>
      <w:pPr>
        <w:adjustRightInd w:val="0"/>
        <w:snapToGrid w:val="0"/>
        <w:spacing w:line="600" w:lineRule="exact"/>
        <w:rPr>
          <w:rFonts w:ascii="仿宋_GB2312" w:hAnsi="楷体"/>
          <w:szCs w:val="32"/>
          <w:highlight w:val="none"/>
        </w:rPr>
      </w:pPr>
    </w:p>
    <w:tbl>
      <w:tblPr>
        <w:tblStyle w:val="4"/>
        <w:tblpPr w:leftFromText="180" w:rightFromText="180" w:vertAnchor="text" w:horzAnchor="page" w:tblpX="1706" w:tblpY="195"/>
        <w:tblOverlap w:val="never"/>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723"/>
        <w:gridCol w:w="282"/>
        <w:gridCol w:w="477"/>
        <w:gridCol w:w="3280"/>
        <w:gridCol w:w="1440"/>
        <w:gridCol w:w="2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9020" w:type="dxa"/>
            <w:gridSpan w:val="7"/>
            <w:tcBorders>
              <w:top w:val="nil"/>
              <w:left w:val="nil"/>
              <w:bottom w:val="nil"/>
              <w:right w:val="nil"/>
            </w:tcBorders>
            <w:noWrap w:val="0"/>
            <w:vAlign w:val="center"/>
          </w:tcPr>
          <w:p>
            <w:pPr>
              <w:keepNext w:val="0"/>
              <w:keepLines w:val="0"/>
              <w:widowControl/>
              <w:suppressLineNumbers w:val="0"/>
              <w:jc w:val="center"/>
              <w:textAlignment w:val="center"/>
              <w:rPr>
                <w:rFonts w:ascii="宋体" w:cs="宋体"/>
                <w:b/>
                <w:bCs/>
                <w:szCs w:val="32"/>
                <w:highlight w:val="none"/>
              </w:rPr>
            </w:pPr>
            <w:r>
              <w:rPr>
                <w:rFonts w:hint="eastAsia" w:ascii="宋体" w:hAnsi="宋体" w:eastAsia="宋体" w:cs="宋体"/>
                <w:b/>
                <w:i w:val="0"/>
                <w:color w:val="000000"/>
                <w:kern w:val="0"/>
                <w:sz w:val="28"/>
                <w:szCs w:val="28"/>
                <w:highlight w:val="none"/>
                <w:u w:val="none"/>
                <w:lang w:val="en-US" w:eastAsia="zh-CN" w:bidi="ar"/>
              </w:rPr>
              <w:t>项目支出绩效目标表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020" w:type="dxa"/>
            <w:gridSpan w:val="7"/>
            <w:tcBorders>
              <w:top w:val="nil"/>
              <w:left w:val="nil"/>
              <w:right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 xml:space="preserve"> （2023年度）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项目名称</w:t>
            </w:r>
          </w:p>
        </w:tc>
        <w:tc>
          <w:tcPr>
            <w:tcW w:w="7577" w:type="dxa"/>
            <w:gridSpan w:val="4"/>
            <w:tcBorders>
              <w:tl2br w:val="nil"/>
              <w:tr2bl w:val="nil"/>
            </w:tcBorders>
            <w:noWrap w:val="0"/>
            <w:vAlign w:val="center"/>
          </w:tcPr>
          <w:p>
            <w:pPr>
              <w:jc w:val="center"/>
              <w:rPr>
                <w:rFonts w:hint="default" w:ascii="宋体" w:eastAsia="仿宋_GB2312" w:cs="宋体"/>
                <w:sz w:val="20"/>
                <w:highlight w:val="none"/>
                <w:lang w:val="en-US" w:eastAsia="zh-CN"/>
              </w:rPr>
            </w:pPr>
            <w:r>
              <w:rPr>
                <w:rFonts w:hint="eastAsia" w:ascii="宋体" w:hAnsi="宋体" w:eastAsia="宋体" w:cs="宋体"/>
                <w:i w:val="0"/>
                <w:color w:val="000000"/>
                <w:kern w:val="0"/>
                <w:sz w:val="20"/>
                <w:szCs w:val="20"/>
                <w:highlight w:val="none"/>
                <w:u w:val="none"/>
                <w:lang w:val="en-US" w:eastAsia="zh-CN" w:bidi="ar"/>
              </w:rPr>
              <w:t>参政议政经费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443"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主管部门   及代码</w:t>
            </w:r>
          </w:p>
        </w:tc>
        <w:tc>
          <w:tcPr>
            <w:tcW w:w="3757"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[141]中国致公党安庆市委员会</w:t>
            </w:r>
          </w:p>
        </w:tc>
        <w:tc>
          <w:tcPr>
            <w:tcW w:w="1440" w:type="dxa"/>
            <w:tcBorders>
              <w:tl2br w:val="nil"/>
              <w:tr2bl w:val="nil"/>
            </w:tcBorders>
            <w:noWrap w:val="0"/>
            <w:vAlign w:val="center"/>
          </w:tcPr>
          <w:p>
            <w:pPr>
              <w:keepNext w:val="0"/>
              <w:keepLines w:val="0"/>
              <w:widowControl/>
              <w:suppressLineNumbers w:val="0"/>
              <w:jc w:val="center"/>
              <w:textAlignment w:val="center"/>
              <w:rPr>
                <w:highlight w:val="none"/>
              </w:rPr>
            </w:pPr>
            <w:r>
              <w:rPr>
                <w:rFonts w:hint="eastAsia" w:ascii="宋体" w:hAnsi="宋体" w:eastAsia="宋体" w:cs="宋体"/>
                <w:i w:val="0"/>
                <w:color w:val="000000"/>
                <w:kern w:val="0"/>
                <w:sz w:val="20"/>
                <w:szCs w:val="20"/>
                <w:highlight w:val="none"/>
                <w:u w:val="none"/>
                <w:lang w:val="en-US" w:eastAsia="zh-CN" w:bidi="ar"/>
              </w:rPr>
              <w:t>实施单位</w:t>
            </w:r>
          </w:p>
        </w:tc>
        <w:tc>
          <w:tcPr>
            <w:tcW w:w="2380" w:type="dxa"/>
            <w:tcBorders>
              <w:tl2br w:val="nil"/>
              <w:tr2bl w:val="nil"/>
            </w:tcBorders>
            <w:noWrap w:val="0"/>
            <w:vAlign w:val="center"/>
          </w:tcPr>
          <w:p>
            <w:pPr>
              <w:jc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中国致公党安庆市委员会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项目来源</w:t>
            </w:r>
          </w:p>
        </w:tc>
        <w:tc>
          <w:tcPr>
            <w:tcW w:w="3757"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本级申报项目</w:t>
            </w:r>
          </w:p>
        </w:tc>
        <w:tc>
          <w:tcPr>
            <w:tcW w:w="1440" w:type="dxa"/>
            <w:tcBorders>
              <w:tl2br w:val="nil"/>
              <w:tr2bl w:val="nil"/>
            </w:tcBorders>
            <w:noWrap w:val="0"/>
            <w:vAlign w:val="center"/>
          </w:tcPr>
          <w:p>
            <w:pPr>
              <w:keepNext w:val="0"/>
              <w:keepLines w:val="0"/>
              <w:widowControl/>
              <w:suppressLineNumbers w:val="0"/>
              <w:jc w:val="center"/>
              <w:textAlignment w:val="center"/>
              <w:rPr>
                <w:highlight w:val="none"/>
              </w:rPr>
            </w:pPr>
            <w:r>
              <w:rPr>
                <w:rFonts w:hint="eastAsia" w:ascii="宋体" w:hAnsi="宋体" w:eastAsia="宋体" w:cs="宋体"/>
                <w:i w:val="0"/>
                <w:color w:val="000000"/>
                <w:kern w:val="0"/>
                <w:sz w:val="20"/>
                <w:szCs w:val="20"/>
                <w:highlight w:val="none"/>
                <w:u w:val="none"/>
                <w:lang w:val="en-US" w:eastAsia="zh-CN" w:bidi="ar"/>
              </w:rPr>
              <w:t>项目期</w:t>
            </w:r>
          </w:p>
        </w:tc>
        <w:tc>
          <w:tcPr>
            <w:tcW w:w="2380" w:type="dxa"/>
            <w:tcBorders>
              <w:tl2br w:val="nil"/>
              <w:tr2bl w:val="nil"/>
            </w:tcBorders>
            <w:noWrap w:val="0"/>
            <w:vAlign w:val="center"/>
          </w:tcPr>
          <w:p>
            <w:pPr>
              <w:jc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restart"/>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项目资金</w:t>
            </w:r>
          </w:p>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（万元）</w:t>
            </w:r>
          </w:p>
        </w:tc>
        <w:tc>
          <w:tcPr>
            <w:tcW w:w="3757" w:type="dxa"/>
            <w:gridSpan w:val="2"/>
            <w:tcBorders>
              <w:tl2br w:val="nil"/>
              <w:tr2bl w:val="nil"/>
            </w:tcBorders>
            <w:noWrap w:val="0"/>
            <w:vAlign w:val="center"/>
          </w:tcPr>
          <w:p>
            <w:pPr>
              <w:keepNext w:val="0"/>
              <w:keepLines w:val="0"/>
              <w:widowControl/>
              <w:suppressLineNumbers w:val="0"/>
              <w:jc w:val="left"/>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 xml:space="preserve"> 年度资金总额：</w:t>
            </w:r>
          </w:p>
        </w:tc>
        <w:tc>
          <w:tcPr>
            <w:tcW w:w="3820" w:type="dxa"/>
            <w:gridSpan w:val="2"/>
            <w:tcBorders>
              <w:tl2br w:val="nil"/>
              <w:tr2bl w:val="nil"/>
            </w:tcBorders>
            <w:noWrap w:val="0"/>
            <w:vAlign w:val="center"/>
          </w:tcPr>
          <w:p>
            <w:pPr>
              <w:jc w:val="center"/>
              <w:rPr>
                <w:rFonts w:hint="default" w:ascii="宋体" w:eastAsia="仿宋_GB2312" w:cs="宋体"/>
                <w:sz w:val="20"/>
                <w:highlight w:val="none"/>
                <w:lang w:val="en-US" w:eastAsia="zh-CN"/>
              </w:rPr>
            </w:pPr>
            <w:r>
              <w:rPr>
                <w:rFonts w:hint="eastAsia" w:ascii="宋体" w:cs="宋体"/>
                <w:sz w:val="20"/>
                <w:highlight w:val="none"/>
                <w:lang w:val="en-US" w:eastAsia="zh-CN"/>
              </w:rPr>
              <w:t>7.90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continue"/>
            <w:tcBorders>
              <w:tl2br w:val="nil"/>
              <w:tr2bl w:val="nil"/>
            </w:tcBorders>
            <w:noWrap w:val="0"/>
            <w:vAlign w:val="center"/>
          </w:tcPr>
          <w:p>
            <w:pPr>
              <w:jc w:val="center"/>
              <w:rPr>
                <w:rFonts w:ascii="宋体" w:cs="宋体"/>
                <w:sz w:val="20"/>
                <w:highlight w:val="none"/>
              </w:rPr>
            </w:pPr>
          </w:p>
        </w:tc>
        <w:tc>
          <w:tcPr>
            <w:tcW w:w="3757" w:type="dxa"/>
            <w:gridSpan w:val="2"/>
            <w:tcBorders>
              <w:tl2br w:val="nil"/>
              <w:tr2bl w:val="nil"/>
            </w:tcBorders>
            <w:noWrap w:val="0"/>
            <w:vAlign w:val="center"/>
          </w:tcPr>
          <w:p>
            <w:pPr>
              <w:keepNext w:val="0"/>
              <w:keepLines w:val="0"/>
              <w:widowControl/>
              <w:suppressLineNumbers w:val="0"/>
              <w:jc w:val="left"/>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 xml:space="preserve">   其中：财政拨款</w:t>
            </w:r>
          </w:p>
        </w:tc>
        <w:tc>
          <w:tcPr>
            <w:tcW w:w="3820" w:type="dxa"/>
            <w:gridSpan w:val="2"/>
            <w:tcBorders>
              <w:tl2br w:val="nil"/>
              <w:tr2bl w:val="nil"/>
            </w:tcBorders>
            <w:noWrap w:val="0"/>
            <w:vAlign w:val="center"/>
          </w:tcPr>
          <w:p>
            <w:pPr>
              <w:jc w:val="center"/>
              <w:rPr>
                <w:rFonts w:hint="default" w:ascii="宋体" w:eastAsia="仿宋_GB2312" w:cs="宋体"/>
                <w:sz w:val="20"/>
                <w:highlight w:val="none"/>
                <w:lang w:val="en-US" w:eastAsia="zh-CN"/>
              </w:rPr>
            </w:pPr>
            <w:r>
              <w:rPr>
                <w:rFonts w:hint="eastAsia" w:ascii="宋体" w:cs="宋体"/>
                <w:sz w:val="20"/>
                <w:highlight w:val="none"/>
                <w:lang w:val="en-US" w:eastAsia="zh-CN"/>
              </w:rPr>
              <w:t>7.90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continue"/>
            <w:tcBorders>
              <w:tl2br w:val="nil"/>
              <w:tr2bl w:val="nil"/>
            </w:tcBorders>
            <w:noWrap w:val="0"/>
            <w:vAlign w:val="center"/>
          </w:tcPr>
          <w:p>
            <w:pPr>
              <w:jc w:val="center"/>
              <w:rPr>
                <w:rFonts w:ascii="宋体" w:cs="宋体"/>
                <w:sz w:val="20"/>
                <w:highlight w:val="none"/>
              </w:rPr>
            </w:pPr>
          </w:p>
        </w:tc>
        <w:tc>
          <w:tcPr>
            <w:tcW w:w="3757" w:type="dxa"/>
            <w:gridSpan w:val="2"/>
            <w:tcBorders>
              <w:tl2br w:val="nil"/>
              <w:tr2bl w:val="nil"/>
            </w:tcBorders>
            <w:noWrap w:val="0"/>
            <w:vAlign w:val="center"/>
          </w:tcPr>
          <w:p>
            <w:pPr>
              <w:keepNext w:val="0"/>
              <w:keepLines w:val="0"/>
              <w:widowControl/>
              <w:suppressLineNumbers w:val="0"/>
              <w:jc w:val="left"/>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 xml:space="preserve">         上年结转</w:t>
            </w:r>
          </w:p>
        </w:tc>
        <w:tc>
          <w:tcPr>
            <w:tcW w:w="3820" w:type="dxa"/>
            <w:gridSpan w:val="2"/>
            <w:tcBorders>
              <w:tl2br w:val="nil"/>
              <w:tr2bl w:val="nil"/>
            </w:tcBorders>
            <w:noWrap w:val="0"/>
            <w:vAlign w:val="center"/>
          </w:tcPr>
          <w:p>
            <w:pPr>
              <w:jc w:val="center"/>
              <w:rPr>
                <w:rFonts w:ascii="宋体" w:cs="宋体"/>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continue"/>
            <w:tcBorders>
              <w:tl2br w:val="nil"/>
              <w:tr2bl w:val="nil"/>
            </w:tcBorders>
            <w:noWrap w:val="0"/>
            <w:vAlign w:val="center"/>
          </w:tcPr>
          <w:p>
            <w:pPr>
              <w:jc w:val="center"/>
              <w:rPr>
                <w:rFonts w:ascii="宋体" w:cs="宋体"/>
                <w:sz w:val="20"/>
                <w:highlight w:val="none"/>
              </w:rPr>
            </w:pPr>
          </w:p>
        </w:tc>
        <w:tc>
          <w:tcPr>
            <w:tcW w:w="3757" w:type="dxa"/>
            <w:gridSpan w:val="2"/>
            <w:tcBorders>
              <w:tl2br w:val="nil"/>
              <w:tr2bl w:val="nil"/>
            </w:tcBorders>
            <w:noWrap w:val="0"/>
            <w:vAlign w:val="center"/>
          </w:tcPr>
          <w:p>
            <w:pPr>
              <w:keepNext w:val="0"/>
              <w:keepLines w:val="0"/>
              <w:widowControl/>
              <w:suppressLineNumbers w:val="0"/>
              <w:jc w:val="left"/>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 xml:space="preserve">         其他资金</w:t>
            </w:r>
          </w:p>
        </w:tc>
        <w:tc>
          <w:tcPr>
            <w:tcW w:w="3820" w:type="dxa"/>
            <w:gridSpan w:val="2"/>
            <w:tcBorders>
              <w:tl2br w:val="nil"/>
              <w:tr2bl w:val="nil"/>
            </w:tcBorders>
            <w:noWrap w:val="0"/>
            <w:vAlign w:val="center"/>
          </w:tcPr>
          <w:p>
            <w:pPr>
              <w:jc w:val="right"/>
              <w:rPr>
                <w:rFonts w:ascii="宋体" w:cs="宋体"/>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43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年度</w:t>
            </w:r>
          </w:p>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目标</w:t>
            </w:r>
          </w:p>
        </w:tc>
        <w:tc>
          <w:tcPr>
            <w:tcW w:w="8582" w:type="dxa"/>
            <w:gridSpan w:val="6"/>
            <w:tcBorders>
              <w:tl2br w:val="nil"/>
              <w:tr2bl w:val="nil"/>
            </w:tcBorders>
            <w:noWrap w:val="0"/>
            <w:vAlign w:val="center"/>
          </w:tcPr>
          <w:p>
            <w:pPr>
              <w:jc w:val="left"/>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完成省委会布置的参政议政任务。围绕“十四五”规划落实、中共安庆市委市政府重点工作，深入调查研究、积极建言献策。在省、市、区（县）“两会”平台上提交高质量提案，为助力经济社会发展贡献致公力量。完成市政协年度重点协商课题和交办的参政议政任务。组织党员聚焦社会热点和民生关切，积极撰写社情民意， 助力职能部门改进工作，增进民生福祉。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38" w:type="dxa"/>
            <w:vMerge w:val="restart"/>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绩</w:t>
            </w:r>
          </w:p>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效</w:t>
            </w:r>
          </w:p>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w:t>
            </w:r>
          </w:p>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标</w:t>
            </w:r>
          </w:p>
        </w:tc>
        <w:tc>
          <w:tcPr>
            <w:tcW w:w="72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指标</w:t>
            </w:r>
          </w:p>
        </w:tc>
        <w:tc>
          <w:tcPr>
            <w:tcW w:w="759"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二级指标</w:t>
            </w:r>
          </w:p>
        </w:tc>
        <w:tc>
          <w:tcPr>
            <w:tcW w:w="3280" w:type="dxa"/>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三级指标</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产出指标</w:t>
            </w:r>
          </w:p>
        </w:tc>
        <w:tc>
          <w:tcPr>
            <w:tcW w:w="759" w:type="dxa"/>
            <w:gridSpan w:val="2"/>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数量指标</w:t>
            </w:r>
          </w:p>
        </w:tc>
        <w:tc>
          <w:tcPr>
            <w:tcW w:w="3280" w:type="dxa"/>
            <w:tcBorders>
              <w:tl2br w:val="nil"/>
              <w:tr2bl w:val="nil"/>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指标1：培训次数</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ascii="宋体" w:cs="宋体"/>
                <w:sz w:val="20"/>
                <w:highlight w:val="none"/>
              </w:rPr>
            </w:pPr>
          </w:p>
        </w:tc>
        <w:tc>
          <w:tcPr>
            <w:tcW w:w="759" w:type="dxa"/>
            <w:gridSpan w:val="2"/>
            <w:vMerge w:val="continue"/>
            <w:tcBorders>
              <w:tl2br w:val="nil"/>
              <w:tr2bl w:val="nil"/>
            </w:tcBorders>
            <w:noWrap w:val="0"/>
            <w:vAlign w:val="center"/>
          </w:tcPr>
          <w:p>
            <w:pPr>
              <w:jc w:val="center"/>
              <w:rPr>
                <w:rFonts w:ascii="宋体" w:cs="宋体"/>
                <w:sz w:val="20"/>
                <w:highlight w:val="none"/>
              </w:rPr>
            </w:pPr>
          </w:p>
        </w:tc>
        <w:tc>
          <w:tcPr>
            <w:tcW w:w="3280" w:type="dxa"/>
            <w:tcBorders>
              <w:tl2br w:val="nil"/>
              <w:tr2bl w:val="nil"/>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指标2：参政议政材料数量</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20篇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ascii="宋体" w:cs="宋体"/>
                <w:sz w:val="20"/>
                <w:highlight w:val="none"/>
              </w:rPr>
            </w:pPr>
          </w:p>
        </w:tc>
        <w:tc>
          <w:tcPr>
            <w:tcW w:w="759" w:type="dxa"/>
            <w:gridSpan w:val="2"/>
            <w:vMerge w:val="continue"/>
            <w:tcBorders>
              <w:tl2br w:val="nil"/>
              <w:tr2bl w:val="nil"/>
            </w:tcBorders>
            <w:noWrap w:val="0"/>
            <w:vAlign w:val="center"/>
          </w:tcPr>
          <w:p>
            <w:pPr>
              <w:jc w:val="center"/>
              <w:rPr>
                <w:rFonts w:ascii="宋体" w:cs="宋体"/>
                <w:sz w:val="20"/>
                <w:highlight w:val="none"/>
              </w:rPr>
            </w:pPr>
          </w:p>
        </w:tc>
        <w:tc>
          <w:tcPr>
            <w:tcW w:w="3280" w:type="dxa"/>
            <w:tcBorders>
              <w:tl2br w:val="nil"/>
              <w:tr2bl w:val="nil"/>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指标3：调研次数</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ascii="宋体" w:cs="宋体"/>
                <w:sz w:val="20"/>
                <w:highlight w:val="none"/>
              </w:rPr>
            </w:pPr>
          </w:p>
        </w:tc>
        <w:tc>
          <w:tcPr>
            <w:tcW w:w="759" w:type="dxa"/>
            <w:gridSpan w:val="2"/>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质量指标</w:t>
            </w:r>
          </w:p>
        </w:tc>
        <w:tc>
          <w:tcPr>
            <w:tcW w:w="3280" w:type="dxa"/>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指标1：培训合格率</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ascii="宋体" w:cs="宋体"/>
                <w:sz w:val="20"/>
                <w:highlight w:val="none"/>
              </w:rPr>
            </w:pPr>
          </w:p>
        </w:tc>
        <w:tc>
          <w:tcPr>
            <w:tcW w:w="759" w:type="dxa"/>
            <w:gridSpan w:val="2"/>
            <w:vMerge w:val="continue"/>
            <w:tcBorders>
              <w:tl2br w:val="nil"/>
              <w:tr2bl w:val="nil"/>
            </w:tcBorders>
            <w:noWrap w:val="0"/>
            <w:vAlign w:val="center"/>
          </w:tcPr>
          <w:p>
            <w:pPr>
              <w:jc w:val="center"/>
              <w:rPr>
                <w:rFonts w:ascii="宋体" w:cs="宋体"/>
                <w:sz w:val="20"/>
                <w:highlight w:val="none"/>
              </w:rPr>
            </w:pPr>
          </w:p>
        </w:tc>
        <w:tc>
          <w:tcPr>
            <w:tcW w:w="3280" w:type="dxa"/>
            <w:tcBorders>
              <w:tl2br w:val="nil"/>
              <w:tr2bl w:val="nil"/>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指标2：参政议政材料被采纳率</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ascii="宋体" w:cs="宋体"/>
                <w:sz w:val="20"/>
                <w:highlight w:val="none"/>
              </w:rPr>
            </w:pPr>
          </w:p>
        </w:tc>
        <w:tc>
          <w:tcPr>
            <w:tcW w:w="759"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时效指标</w:t>
            </w:r>
          </w:p>
        </w:tc>
        <w:tc>
          <w:tcPr>
            <w:tcW w:w="3280" w:type="dxa"/>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指标1：项目完成时间</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2023年12月底前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ascii="宋体" w:cs="宋体"/>
                <w:sz w:val="20"/>
                <w:highlight w:val="none"/>
              </w:rPr>
            </w:pPr>
          </w:p>
        </w:tc>
        <w:tc>
          <w:tcPr>
            <w:tcW w:w="759" w:type="dxa"/>
            <w:gridSpan w:val="2"/>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成本指标</w:t>
            </w:r>
          </w:p>
        </w:tc>
        <w:tc>
          <w:tcPr>
            <w:tcW w:w="3280" w:type="dxa"/>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指标1：经费支出合规性</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严格执行相关定额标准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ascii="宋体" w:cs="宋体"/>
                <w:sz w:val="20"/>
                <w:highlight w:val="none"/>
              </w:rPr>
            </w:pPr>
          </w:p>
        </w:tc>
        <w:tc>
          <w:tcPr>
            <w:tcW w:w="759" w:type="dxa"/>
            <w:gridSpan w:val="2"/>
            <w:vMerge w:val="continue"/>
            <w:tcBorders>
              <w:tl2br w:val="nil"/>
              <w:tr2bl w:val="nil"/>
            </w:tcBorders>
            <w:noWrap w:val="0"/>
            <w:vAlign w:val="center"/>
          </w:tcPr>
          <w:p>
            <w:pPr>
              <w:jc w:val="center"/>
              <w:rPr>
                <w:rFonts w:ascii="宋体" w:cs="宋体"/>
                <w:sz w:val="20"/>
                <w:highlight w:val="none"/>
              </w:rPr>
            </w:pPr>
          </w:p>
        </w:tc>
        <w:tc>
          <w:tcPr>
            <w:tcW w:w="3280" w:type="dxa"/>
            <w:tcBorders>
              <w:tl2br w:val="nil"/>
              <w:tr2bl w:val="nil"/>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指标2：总成本</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7.90万元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restart"/>
            <w:tcBorders>
              <w:tl2br w:val="nil"/>
              <w:tr2bl w:val="nil"/>
            </w:tcBorders>
            <w:noWrap w:val="0"/>
            <w:vAlign w:val="center"/>
          </w:tcPr>
          <w:p>
            <w:pPr>
              <w:keepNext w:val="0"/>
              <w:keepLines w:val="0"/>
              <w:widowControl/>
              <w:suppressLineNumbers w:val="0"/>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效益指标</w:t>
            </w:r>
          </w:p>
        </w:tc>
        <w:tc>
          <w:tcPr>
            <w:tcW w:w="759"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经济效益指标</w:t>
            </w:r>
          </w:p>
        </w:tc>
        <w:tc>
          <w:tcPr>
            <w:tcW w:w="3280" w:type="dxa"/>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此指标不适用此指标</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此指标不适用此指标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ascii="宋体" w:cs="宋体"/>
                <w:sz w:val="20"/>
                <w:highlight w:val="none"/>
              </w:rPr>
            </w:pPr>
          </w:p>
        </w:tc>
        <w:tc>
          <w:tcPr>
            <w:tcW w:w="759" w:type="dxa"/>
            <w:gridSpan w:val="2"/>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社会效益指标</w:t>
            </w:r>
          </w:p>
        </w:tc>
        <w:tc>
          <w:tcPr>
            <w:tcW w:w="3280" w:type="dxa"/>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指标1：为党委、政府当好参谋助手；助力党委、政府科学决策；增进并改善民生福祉</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ascii="宋体" w:cs="宋体"/>
                <w:sz w:val="20"/>
                <w:highlight w:val="none"/>
              </w:rPr>
            </w:pPr>
          </w:p>
        </w:tc>
        <w:tc>
          <w:tcPr>
            <w:tcW w:w="759" w:type="dxa"/>
            <w:gridSpan w:val="2"/>
            <w:vMerge w:val="continue"/>
            <w:tcBorders>
              <w:tl2br w:val="nil"/>
              <w:tr2bl w:val="nil"/>
            </w:tcBorders>
            <w:noWrap w:val="0"/>
            <w:vAlign w:val="center"/>
          </w:tcPr>
          <w:p>
            <w:pPr>
              <w:jc w:val="center"/>
              <w:rPr>
                <w:rFonts w:ascii="宋体" w:cs="宋体"/>
                <w:sz w:val="20"/>
                <w:highlight w:val="none"/>
              </w:rPr>
            </w:pPr>
          </w:p>
        </w:tc>
        <w:tc>
          <w:tcPr>
            <w:tcW w:w="3280" w:type="dxa"/>
            <w:tcBorders>
              <w:tl2br w:val="nil"/>
              <w:tr2bl w:val="nil"/>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指标2：提升对中共领导的多党合作和政治协商制度重要性的认识</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ascii="宋体" w:cs="宋体"/>
                <w:sz w:val="20"/>
                <w:highlight w:val="none"/>
              </w:rPr>
            </w:pPr>
          </w:p>
        </w:tc>
        <w:tc>
          <w:tcPr>
            <w:tcW w:w="759"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cs="宋体"/>
                <w:sz w:val="20"/>
                <w:highlight w:val="none"/>
              </w:rPr>
            </w:pPr>
            <w:r>
              <w:rPr>
                <w:rFonts w:hint="eastAsia" w:ascii="宋体" w:hAnsi="宋体" w:eastAsia="宋体" w:cs="宋体"/>
                <w:i w:val="0"/>
                <w:color w:val="000000"/>
                <w:kern w:val="0"/>
                <w:sz w:val="20"/>
                <w:szCs w:val="20"/>
                <w:highlight w:val="none"/>
                <w:u w:val="none"/>
                <w:lang w:val="en-US" w:eastAsia="zh-CN" w:bidi="ar"/>
              </w:rPr>
              <w:t>生态效益指标</w:t>
            </w:r>
          </w:p>
        </w:tc>
        <w:tc>
          <w:tcPr>
            <w:tcW w:w="3280" w:type="dxa"/>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不适用此指标</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不适用此指标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ascii="宋体" w:cs="宋体"/>
                <w:sz w:val="20"/>
                <w:highlight w:val="none"/>
              </w:rPr>
            </w:pPr>
          </w:p>
        </w:tc>
        <w:tc>
          <w:tcPr>
            <w:tcW w:w="759" w:type="dxa"/>
            <w:gridSpan w:val="2"/>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20"/>
                <w:highlight w:val="none"/>
              </w:rPr>
            </w:pPr>
            <w:r>
              <w:rPr>
                <w:rFonts w:hint="eastAsia" w:ascii="宋体" w:hAnsi="宋体" w:eastAsia="宋体" w:cs="宋体"/>
                <w:sz w:val="20"/>
                <w:highlight w:val="none"/>
              </w:rPr>
              <w:t>可持续影响指标</w:t>
            </w:r>
          </w:p>
        </w:tc>
        <w:tc>
          <w:tcPr>
            <w:tcW w:w="3280" w:type="dxa"/>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指标1：对被采纳提案承办工作的持续跟进，促进转化落实</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ascii="宋体" w:cs="宋体"/>
                <w:sz w:val="20"/>
                <w:highlight w:val="none"/>
              </w:rPr>
            </w:pPr>
          </w:p>
        </w:tc>
        <w:tc>
          <w:tcPr>
            <w:tcW w:w="759" w:type="dxa"/>
            <w:gridSpan w:val="2"/>
            <w:vMerge w:val="continue"/>
            <w:tcBorders>
              <w:tl2br w:val="nil"/>
              <w:tr2bl w:val="nil"/>
            </w:tcBorders>
            <w:noWrap w:val="0"/>
            <w:vAlign w:val="center"/>
          </w:tcPr>
          <w:p>
            <w:pPr>
              <w:jc w:val="center"/>
              <w:rPr>
                <w:rFonts w:hint="eastAsia" w:ascii="宋体" w:hAnsi="宋体" w:eastAsia="宋体" w:cs="宋体"/>
                <w:sz w:val="20"/>
                <w:highlight w:val="none"/>
              </w:rPr>
            </w:pPr>
          </w:p>
        </w:tc>
        <w:tc>
          <w:tcPr>
            <w:tcW w:w="3280" w:type="dxa"/>
            <w:tcBorders>
              <w:tl2br w:val="nil"/>
              <w:tr2bl w:val="nil"/>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指标2：参政议政能力水平的持续提升</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20"/>
                <w:highlight w:val="none"/>
                <w:lang w:eastAsia="zh-CN"/>
              </w:rPr>
            </w:pPr>
            <w:r>
              <w:rPr>
                <w:rFonts w:hint="eastAsia" w:ascii="宋体" w:hAnsi="宋体" w:eastAsia="宋体" w:cs="宋体"/>
                <w:sz w:val="20"/>
                <w:highlight w:val="none"/>
                <w:lang w:eastAsia="zh-CN"/>
              </w:rPr>
              <w:t>满意度指标</w:t>
            </w:r>
          </w:p>
        </w:tc>
        <w:tc>
          <w:tcPr>
            <w:tcW w:w="759" w:type="dxa"/>
            <w:gridSpan w:val="2"/>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20"/>
                <w:highlight w:val="none"/>
                <w:lang w:eastAsia="zh-CN"/>
              </w:rPr>
            </w:pPr>
            <w:r>
              <w:rPr>
                <w:rFonts w:hint="eastAsia" w:ascii="宋体" w:hAnsi="宋体" w:eastAsia="宋体" w:cs="宋体"/>
                <w:sz w:val="20"/>
                <w:highlight w:val="none"/>
                <w:lang w:eastAsia="zh-CN"/>
              </w:rPr>
              <w:t>满意度指标</w:t>
            </w:r>
          </w:p>
        </w:tc>
        <w:tc>
          <w:tcPr>
            <w:tcW w:w="3280" w:type="dxa"/>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指标1：提案建议得到职能部门的认可、采纳</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8" w:type="dxa"/>
            <w:vMerge w:val="continue"/>
            <w:tcBorders>
              <w:tl2br w:val="nil"/>
              <w:tr2bl w:val="nil"/>
            </w:tcBorders>
            <w:noWrap w:val="0"/>
            <w:vAlign w:val="center"/>
          </w:tcPr>
          <w:p>
            <w:pPr>
              <w:jc w:val="center"/>
              <w:rPr>
                <w:rFonts w:ascii="宋体" w:cs="宋体"/>
                <w:sz w:val="20"/>
                <w:highlight w:val="none"/>
              </w:rPr>
            </w:pPr>
          </w:p>
        </w:tc>
        <w:tc>
          <w:tcPr>
            <w:tcW w:w="723" w:type="dxa"/>
            <w:vMerge w:val="continue"/>
            <w:tcBorders>
              <w:tl2br w:val="nil"/>
              <w:tr2bl w:val="nil"/>
            </w:tcBorders>
            <w:noWrap w:val="0"/>
            <w:vAlign w:val="center"/>
          </w:tcPr>
          <w:p>
            <w:pPr>
              <w:jc w:val="center"/>
              <w:rPr>
                <w:rFonts w:hint="eastAsia" w:ascii="宋体" w:hAnsi="宋体" w:eastAsia="宋体" w:cs="宋体"/>
                <w:sz w:val="20"/>
                <w:highlight w:val="none"/>
              </w:rPr>
            </w:pPr>
          </w:p>
        </w:tc>
        <w:tc>
          <w:tcPr>
            <w:tcW w:w="759" w:type="dxa"/>
            <w:gridSpan w:val="2"/>
            <w:vMerge w:val="continue"/>
            <w:tcBorders>
              <w:tl2br w:val="nil"/>
              <w:tr2bl w:val="nil"/>
            </w:tcBorders>
            <w:noWrap w:val="0"/>
            <w:vAlign w:val="center"/>
          </w:tcPr>
          <w:p>
            <w:pPr>
              <w:jc w:val="center"/>
              <w:rPr>
                <w:rFonts w:hint="eastAsia" w:ascii="宋体" w:hAnsi="宋体" w:eastAsia="宋体" w:cs="宋体"/>
                <w:sz w:val="20"/>
                <w:highlight w:val="none"/>
              </w:rPr>
            </w:pPr>
          </w:p>
        </w:tc>
        <w:tc>
          <w:tcPr>
            <w:tcW w:w="3280" w:type="dxa"/>
            <w:tcBorders>
              <w:tl2br w:val="nil"/>
              <w:tr2bl w:val="nil"/>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指标2：为职能部门改进、推动相关工作提供参考</w:t>
            </w:r>
          </w:p>
        </w:tc>
        <w:tc>
          <w:tcPr>
            <w:tcW w:w="3820" w:type="dxa"/>
            <w:gridSpan w:val="2"/>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显著</w:t>
            </w:r>
          </w:p>
        </w:tc>
      </w:tr>
    </w:tbl>
    <w:p>
      <w:pPr>
        <w:adjustRightInd w:val="0"/>
        <w:snapToGrid w:val="0"/>
        <w:spacing w:line="520" w:lineRule="exact"/>
        <w:ind w:firstLine="643" w:firstLineChars="200"/>
        <w:rPr>
          <w:rFonts w:hint="default" w:ascii="TimesNewRoman" w:hAnsi="TimesNewRoman" w:cs="TimesNewRoman"/>
          <w:b/>
          <w:szCs w:val="32"/>
        </w:rPr>
      </w:pPr>
      <w:r>
        <w:rPr>
          <w:rFonts w:hint="default" w:ascii="TimesNewRoman" w:hAnsi="TimesNewRoman" w:cs="TimesNewRoman"/>
          <w:b/>
          <w:szCs w:val="32"/>
        </w:rPr>
        <w:t>（二）</w:t>
      </w:r>
      <w:r>
        <w:rPr>
          <w:rFonts w:hint="default" w:ascii="TimesNewRoman" w:hAnsi="TimesNewRoman" w:cs="TimesNewRoman"/>
          <w:b/>
          <w:color w:val="auto"/>
          <w:szCs w:val="32"/>
        </w:rPr>
        <w:t>机关运行经费。</w:t>
      </w:r>
    </w:p>
    <w:p>
      <w:pPr>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cs="TimesNewRoman"/>
          <w:szCs w:val="32"/>
        </w:rPr>
      </w:pPr>
      <w:r>
        <w:rPr>
          <w:rFonts w:hint="default" w:ascii="TimesNewRoman" w:hAnsi="TimesNewRoman" w:eastAsia="仿宋_GB2312" w:cs="TimesNewRoman"/>
          <w:sz w:val="32"/>
          <w:szCs w:val="32"/>
        </w:rPr>
        <w:t>中国致公党安庆市委员会</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年机关运行经费财政拨款预算</w:t>
      </w:r>
      <w:r>
        <w:rPr>
          <w:rFonts w:hint="eastAsia" w:ascii="TimesNewRoman" w:hAnsi="TimesNewRoman" w:cs="TimesNewRoman"/>
          <w:color w:val="auto"/>
          <w:szCs w:val="32"/>
          <w:lang w:val="en-US" w:eastAsia="zh-CN"/>
        </w:rPr>
        <w:t>9.1</w:t>
      </w:r>
      <w:r>
        <w:rPr>
          <w:rFonts w:hint="default" w:ascii="TimesNewRoman" w:hAnsi="TimesNewRoman" w:cs="TimesNewRoman"/>
          <w:color w:val="auto"/>
          <w:szCs w:val="32"/>
        </w:rPr>
        <w:t>万</w:t>
      </w:r>
      <w:r>
        <w:rPr>
          <w:rFonts w:hint="default" w:ascii="TimesNewRoman" w:hAnsi="TimesNewRoman" w:cs="TimesNewRoman"/>
          <w:szCs w:val="32"/>
        </w:rPr>
        <w:t>元，比202</w:t>
      </w:r>
      <w:r>
        <w:rPr>
          <w:rFonts w:hint="default" w:ascii="TimesNewRoman" w:hAnsi="TimesNewRoman" w:cs="TimesNewRoman"/>
          <w:szCs w:val="32"/>
          <w:lang w:val="en"/>
        </w:rPr>
        <w:t>2</w:t>
      </w:r>
      <w:r>
        <w:rPr>
          <w:rFonts w:hint="default" w:ascii="TimesNewRoman" w:hAnsi="TimesNewRoman" w:cs="TimesNewRoman"/>
          <w:szCs w:val="32"/>
        </w:rPr>
        <w:t>年预算</w:t>
      </w:r>
      <w:r>
        <w:rPr>
          <w:rFonts w:hint="eastAsia" w:ascii="TimesNewRoman" w:hAnsi="TimesNewRoman" w:cs="TimesNewRoman"/>
          <w:color w:val="auto"/>
          <w:szCs w:val="32"/>
          <w:lang w:eastAsia="zh-CN"/>
        </w:rPr>
        <w:t>减少</w:t>
      </w:r>
      <w:r>
        <w:rPr>
          <w:rFonts w:hint="eastAsia" w:ascii="TimesNewRoman" w:hAnsi="TimesNewRoman" w:cs="TimesNewRoman"/>
          <w:color w:val="auto"/>
          <w:szCs w:val="32"/>
          <w:lang w:val="en-US" w:eastAsia="zh-CN"/>
        </w:rPr>
        <w:t>0.47</w:t>
      </w:r>
      <w:r>
        <w:rPr>
          <w:rFonts w:hint="default" w:ascii="TimesNewRoman" w:hAnsi="TimesNewRoman" w:cs="TimesNewRoman"/>
          <w:color w:val="auto"/>
          <w:szCs w:val="32"/>
        </w:rPr>
        <w:t>万元，</w:t>
      </w:r>
      <w:r>
        <w:rPr>
          <w:rFonts w:hint="eastAsia" w:ascii="TimesNewRoman" w:hAnsi="TimesNewRoman" w:cs="TimesNewRoman"/>
          <w:color w:val="auto"/>
          <w:szCs w:val="32"/>
          <w:lang w:eastAsia="zh-CN"/>
        </w:rPr>
        <w:t>下降</w:t>
      </w:r>
      <w:r>
        <w:rPr>
          <w:rFonts w:hint="eastAsia" w:ascii="TimesNewRoman" w:hAnsi="TimesNewRoman" w:cs="TimesNewRoman"/>
          <w:color w:val="auto"/>
          <w:szCs w:val="32"/>
          <w:lang w:val="en-US" w:eastAsia="zh-CN"/>
        </w:rPr>
        <w:t>4.91</w:t>
      </w:r>
      <w:r>
        <w:rPr>
          <w:rFonts w:hint="default" w:ascii="TimesNewRoman" w:hAnsi="TimesNewRoman" w:cs="TimesNewRoman"/>
          <w:color w:val="auto"/>
          <w:szCs w:val="32"/>
        </w:rPr>
        <w:t>%，</w:t>
      </w:r>
      <w:r>
        <w:rPr>
          <w:rFonts w:hint="eastAsia" w:ascii="TimesNewRoman" w:hAnsi="TimesNewRoman" w:cs="TimesNewRoman"/>
          <w:color w:val="auto"/>
          <w:szCs w:val="32"/>
          <w:lang w:eastAsia="zh-CN"/>
        </w:rPr>
        <w:t>下降</w:t>
      </w:r>
      <w:r>
        <w:rPr>
          <w:rFonts w:hint="default" w:ascii="TimesNewRoman" w:hAnsi="TimesNewRoman" w:cs="TimesNewRoman"/>
          <w:color w:val="auto"/>
          <w:szCs w:val="32"/>
        </w:rPr>
        <w:t>主要原因是</w:t>
      </w:r>
      <w:r>
        <w:rPr>
          <w:rFonts w:hint="eastAsia" w:ascii="TimesNewRoman" w:hAnsi="TimesNewRoman" w:cs="TimesNewRoman"/>
          <w:color w:val="auto"/>
          <w:szCs w:val="32"/>
          <w:lang w:val="en-US" w:eastAsia="zh-CN"/>
        </w:rPr>
        <w:t>工会经费、福利费口径调整</w:t>
      </w:r>
      <w:r>
        <w:rPr>
          <w:rFonts w:hint="default" w:ascii="TimesNewRoman" w:hAnsi="TimesNewRoman" w:cs="TimesNewRoman"/>
          <w:color w:val="auto"/>
          <w:szCs w:val="32"/>
        </w:rPr>
        <w:t>。</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cs="TimesNewRoman"/>
          <w:b/>
          <w:szCs w:val="32"/>
        </w:rPr>
      </w:pPr>
      <w:r>
        <w:rPr>
          <w:rFonts w:hint="default" w:ascii="TimesNewRoman" w:hAnsi="TimesNewRoman" w:cs="TimesNewRoman"/>
          <w:b/>
          <w:szCs w:val="32"/>
        </w:rPr>
        <w:t>（三）政府采购情况。</w:t>
      </w:r>
    </w:p>
    <w:p>
      <w:pPr>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cs="TimesNewRoman"/>
          <w:szCs w:val="32"/>
        </w:rPr>
      </w:pPr>
      <w:r>
        <w:rPr>
          <w:rFonts w:hint="default" w:ascii="TimesNewRoman" w:hAnsi="TimesNewRoman" w:eastAsia="仿宋_GB2312" w:cs="TimesNewRoman"/>
          <w:sz w:val="32"/>
          <w:szCs w:val="32"/>
        </w:rPr>
        <w:t>中国致公党安庆市委员会</w:t>
      </w: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年政府采购预算</w:t>
      </w:r>
      <w:r>
        <w:rPr>
          <w:rFonts w:hint="eastAsia" w:ascii="TimesNewRoman" w:hAnsi="TimesNewRoman" w:cs="TimesNewRoman"/>
          <w:szCs w:val="32"/>
          <w:lang w:val="en-US" w:eastAsia="zh-CN"/>
        </w:rPr>
        <w:t>0</w:t>
      </w:r>
      <w:r>
        <w:rPr>
          <w:rFonts w:hint="default" w:ascii="TimesNewRoman" w:hAnsi="TimesNewRoman" w:cs="TimesNewRoman"/>
          <w:szCs w:val="32"/>
        </w:rPr>
        <w:t>万元。其中：政府采购货物预算</w:t>
      </w:r>
      <w:r>
        <w:rPr>
          <w:rFonts w:hint="eastAsia" w:ascii="TimesNewRoman" w:hAnsi="TimesNewRoman" w:cs="TimesNewRoman"/>
          <w:szCs w:val="32"/>
          <w:lang w:val="en-US" w:eastAsia="zh-CN"/>
        </w:rPr>
        <w:t>0</w:t>
      </w:r>
      <w:r>
        <w:rPr>
          <w:rFonts w:hint="default" w:ascii="TimesNewRoman" w:hAnsi="TimesNewRoman" w:cs="TimesNewRoman"/>
          <w:szCs w:val="32"/>
        </w:rPr>
        <w:t>万元，政府采购工程预算</w:t>
      </w:r>
      <w:r>
        <w:rPr>
          <w:rFonts w:hint="eastAsia" w:ascii="TimesNewRoman" w:hAnsi="TimesNewRoman" w:cs="TimesNewRoman"/>
          <w:szCs w:val="32"/>
          <w:lang w:val="en-US" w:eastAsia="zh-CN"/>
        </w:rPr>
        <w:t>0</w:t>
      </w:r>
      <w:r>
        <w:rPr>
          <w:rFonts w:hint="default" w:ascii="TimesNewRoman" w:hAnsi="TimesNewRoman" w:cs="TimesNewRoman"/>
          <w:szCs w:val="32"/>
        </w:rPr>
        <w:t>万元，政府采购服务预算</w:t>
      </w:r>
      <w:r>
        <w:rPr>
          <w:rFonts w:hint="eastAsia" w:ascii="TimesNewRoman" w:hAnsi="TimesNewRoman" w:cs="TimesNewRoman"/>
          <w:szCs w:val="32"/>
          <w:lang w:val="en-US" w:eastAsia="zh-CN"/>
        </w:rPr>
        <w:t>0</w:t>
      </w:r>
      <w:r>
        <w:rPr>
          <w:rFonts w:hint="default" w:ascii="TimesNewRoman" w:hAnsi="TimesNewRoman" w:cs="TimesNewRoman"/>
          <w:szCs w:val="32"/>
        </w:rPr>
        <w:t>万元。</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cs="TimesNewRoman"/>
          <w:b/>
          <w:szCs w:val="32"/>
        </w:rPr>
      </w:pPr>
      <w:r>
        <w:rPr>
          <w:rFonts w:hint="default" w:ascii="TimesNewRoman" w:hAnsi="TimesNewRoman" w:cs="TimesNewRoman"/>
          <w:b/>
          <w:szCs w:val="32"/>
        </w:rPr>
        <w:t>（四）国有资产占有使用情况。</w:t>
      </w:r>
    </w:p>
    <w:p>
      <w:pPr>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cs="TimesNewRoman"/>
          <w:szCs w:val="32"/>
        </w:rPr>
      </w:pPr>
      <w:r>
        <w:rPr>
          <w:rFonts w:hint="default" w:ascii="TimesNewRoman" w:hAnsi="TimesNewRoman" w:cs="TimesNewRoman"/>
          <w:szCs w:val="32"/>
        </w:rPr>
        <w:t>截至202</w:t>
      </w:r>
      <w:r>
        <w:rPr>
          <w:rFonts w:hint="default" w:ascii="TimesNewRoman" w:hAnsi="TimesNewRoman" w:cs="TimesNewRoman"/>
          <w:szCs w:val="32"/>
          <w:lang w:val="en"/>
        </w:rPr>
        <w:t>2</w:t>
      </w:r>
      <w:r>
        <w:rPr>
          <w:rFonts w:hint="default" w:ascii="TimesNewRoman" w:hAnsi="TimesNewRoman" w:cs="TimesNewRoman"/>
          <w:szCs w:val="32"/>
        </w:rPr>
        <w:t>年12月31日，</w:t>
      </w:r>
      <w:r>
        <w:rPr>
          <w:rFonts w:hint="default" w:ascii="TimesNewRoman" w:hAnsi="TimesNewRoman" w:eastAsia="仿宋_GB2312" w:cs="TimesNewRoman"/>
          <w:sz w:val="32"/>
          <w:szCs w:val="32"/>
        </w:rPr>
        <w:t>中国致公党安庆市委员会</w:t>
      </w:r>
      <w:r>
        <w:rPr>
          <w:rFonts w:hint="default" w:ascii="TimesNewRoman" w:hAnsi="TimesNewRoman" w:cs="TimesNewRoman"/>
          <w:szCs w:val="32"/>
        </w:rPr>
        <w:t>共有车辆</w:t>
      </w:r>
      <w:r>
        <w:rPr>
          <w:rFonts w:hint="eastAsia" w:ascii="TimesNewRoman" w:hAnsi="TimesNewRoman" w:cs="TimesNewRoman"/>
          <w:szCs w:val="32"/>
          <w:lang w:val="en-US" w:eastAsia="zh-CN"/>
        </w:rPr>
        <w:t>0</w:t>
      </w:r>
      <w:r>
        <w:rPr>
          <w:rFonts w:hint="default" w:ascii="TimesNewRoman" w:hAnsi="TimesNewRoman" w:cs="TimesNewRoman"/>
          <w:szCs w:val="32"/>
        </w:rPr>
        <w:t>辆。单价50万元以上的通用设备</w:t>
      </w:r>
      <w:r>
        <w:rPr>
          <w:rFonts w:hint="eastAsia" w:ascii="TimesNewRoman" w:hAnsi="TimesNewRoman" w:cs="TimesNewRoman"/>
          <w:szCs w:val="32"/>
          <w:lang w:val="en-US" w:eastAsia="zh-CN"/>
        </w:rPr>
        <w:t>0</w:t>
      </w:r>
      <w:r>
        <w:rPr>
          <w:rFonts w:hint="default" w:ascii="TimesNewRoman" w:hAnsi="TimesNewRoman" w:cs="TimesNewRoman"/>
          <w:szCs w:val="32"/>
        </w:rPr>
        <w:t>台（套），单价100万元以上的专用设备</w:t>
      </w:r>
      <w:r>
        <w:rPr>
          <w:rFonts w:hint="eastAsia" w:ascii="TimesNewRoman" w:hAnsi="TimesNewRoman" w:cs="TimesNewRoman"/>
          <w:szCs w:val="32"/>
          <w:lang w:val="en-US" w:eastAsia="zh-CN"/>
        </w:rPr>
        <w:t>0</w:t>
      </w:r>
      <w:r>
        <w:rPr>
          <w:rFonts w:hint="default" w:ascii="TimesNewRoman" w:hAnsi="TimesNewRoman" w:cs="TimesNewRoman"/>
          <w:szCs w:val="32"/>
        </w:rPr>
        <w:t>台（套）。</w:t>
      </w:r>
    </w:p>
    <w:p>
      <w:pPr>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cs="TimesNewRoman"/>
          <w:szCs w:val="32"/>
        </w:rPr>
      </w:pP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年部门预算安排购置公务用车</w:t>
      </w:r>
      <w:r>
        <w:rPr>
          <w:rFonts w:hint="eastAsia" w:ascii="TimesNewRoman" w:hAnsi="TimesNewRoman" w:cs="TimesNewRoman"/>
          <w:szCs w:val="32"/>
          <w:lang w:val="en-US" w:eastAsia="zh-CN"/>
        </w:rPr>
        <w:t>0</w:t>
      </w:r>
      <w:r>
        <w:rPr>
          <w:rFonts w:hint="default" w:ascii="TimesNewRoman" w:hAnsi="TimesNewRoman" w:cs="TimesNewRoman"/>
          <w:szCs w:val="32"/>
        </w:rPr>
        <w:t>辆，购置费</w:t>
      </w:r>
      <w:r>
        <w:rPr>
          <w:rFonts w:hint="eastAsia" w:ascii="TimesNewRoman" w:hAnsi="TimesNewRoman" w:cs="TimesNewRoman"/>
          <w:szCs w:val="32"/>
          <w:lang w:val="en-US" w:eastAsia="zh-CN"/>
        </w:rPr>
        <w:t>0</w:t>
      </w:r>
      <w:r>
        <w:rPr>
          <w:rFonts w:hint="default" w:ascii="TimesNewRoman" w:hAnsi="TimesNewRoman" w:cs="TimesNewRoman"/>
          <w:szCs w:val="32"/>
        </w:rPr>
        <w:t>万元；安排购置单价50万元以上的通用设备</w:t>
      </w:r>
      <w:r>
        <w:rPr>
          <w:rFonts w:hint="eastAsia" w:ascii="TimesNewRoman" w:hAnsi="TimesNewRoman" w:cs="TimesNewRoman"/>
          <w:szCs w:val="32"/>
          <w:lang w:val="en-US" w:eastAsia="zh-CN"/>
        </w:rPr>
        <w:t>0</w:t>
      </w:r>
      <w:r>
        <w:rPr>
          <w:rFonts w:hint="default" w:ascii="TimesNewRoman" w:hAnsi="TimesNewRoman" w:cs="TimesNewRoman"/>
          <w:szCs w:val="32"/>
        </w:rPr>
        <w:t>台（套），购置费</w:t>
      </w:r>
      <w:r>
        <w:rPr>
          <w:rFonts w:hint="eastAsia" w:ascii="TimesNewRoman" w:hAnsi="TimesNewRoman" w:cs="TimesNewRoman"/>
          <w:szCs w:val="32"/>
          <w:lang w:val="en-US" w:eastAsia="zh-CN"/>
        </w:rPr>
        <w:t>0</w:t>
      </w:r>
      <w:r>
        <w:rPr>
          <w:rFonts w:hint="default" w:ascii="TimesNewRoman" w:hAnsi="TimesNewRoman" w:cs="TimesNewRoman"/>
          <w:szCs w:val="32"/>
        </w:rPr>
        <w:t>万元；安排购置单价100万元以上专用设备</w:t>
      </w:r>
      <w:r>
        <w:rPr>
          <w:rFonts w:hint="eastAsia" w:ascii="TimesNewRoman" w:hAnsi="TimesNewRoman" w:cs="TimesNewRoman"/>
          <w:szCs w:val="32"/>
          <w:lang w:val="en-US" w:eastAsia="zh-CN"/>
        </w:rPr>
        <w:t>0</w:t>
      </w:r>
      <w:r>
        <w:rPr>
          <w:rFonts w:hint="default" w:ascii="TimesNewRoman" w:hAnsi="TimesNewRoman" w:cs="TimesNewRoman"/>
          <w:szCs w:val="32"/>
        </w:rPr>
        <w:t>台（套），购置费</w:t>
      </w:r>
      <w:r>
        <w:rPr>
          <w:rFonts w:hint="eastAsia" w:ascii="TimesNewRoman" w:hAnsi="TimesNewRoman" w:cs="TimesNewRoman"/>
          <w:szCs w:val="32"/>
          <w:lang w:val="en-US" w:eastAsia="zh-CN"/>
        </w:rPr>
        <w:t>0</w:t>
      </w:r>
      <w:r>
        <w:rPr>
          <w:rFonts w:hint="default" w:ascii="TimesNewRoman" w:hAnsi="TimesNewRoman" w:cs="TimesNewRoman"/>
          <w:szCs w:val="32"/>
        </w:rPr>
        <w:t>万元。</w:t>
      </w:r>
    </w:p>
    <w:p>
      <w:pPr>
        <w:keepNext w:val="0"/>
        <w:keepLines w:val="0"/>
        <w:pageBreakBefore w:val="0"/>
        <w:kinsoku/>
        <w:overflowPunct/>
        <w:topLinePunct w:val="0"/>
        <w:autoSpaceDE/>
        <w:autoSpaceDN/>
        <w:bidi w:val="0"/>
        <w:adjustRightInd w:val="0"/>
        <w:snapToGrid w:val="0"/>
        <w:spacing w:line="560" w:lineRule="exact"/>
        <w:ind w:firstLine="643" w:firstLineChars="200"/>
        <w:rPr>
          <w:rFonts w:hint="default" w:ascii="TimesNewRoman" w:hAnsi="TimesNewRoman" w:cs="TimesNewRoman"/>
          <w:b/>
          <w:szCs w:val="32"/>
        </w:rPr>
      </w:pPr>
      <w:r>
        <w:rPr>
          <w:rFonts w:hint="default" w:ascii="TimesNewRoman" w:hAnsi="TimesNewRoman" w:cs="TimesNewRoman"/>
          <w:b/>
          <w:szCs w:val="32"/>
        </w:rPr>
        <w:t>（五）绩效目标设置情况。</w:t>
      </w:r>
    </w:p>
    <w:p>
      <w:pPr>
        <w:keepNext w:val="0"/>
        <w:keepLines w:val="0"/>
        <w:pageBreakBefore w:val="0"/>
        <w:kinsoku/>
        <w:overflowPunct/>
        <w:topLinePunct w:val="0"/>
        <w:autoSpaceDE/>
        <w:autoSpaceDN/>
        <w:bidi w:val="0"/>
        <w:adjustRightInd w:val="0"/>
        <w:snapToGrid w:val="0"/>
        <w:spacing w:line="560" w:lineRule="exact"/>
        <w:ind w:firstLine="640" w:firstLineChars="200"/>
        <w:outlineLvl w:val="0"/>
        <w:rPr>
          <w:rFonts w:hint="default" w:ascii="TimesNewRoman" w:hAnsi="TimesNewRoman" w:eastAsia="黑体" w:cs="TimesNewRoman"/>
          <w:sz w:val="36"/>
          <w:szCs w:val="36"/>
        </w:rPr>
      </w:pPr>
      <w:r>
        <w:rPr>
          <w:rFonts w:hint="default" w:ascii="TimesNewRoman" w:hAnsi="TimesNewRoman" w:cs="TimesNewRoman"/>
          <w:szCs w:val="32"/>
        </w:rPr>
        <w:t>202</w:t>
      </w:r>
      <w:r>
        <w:rPr>
          <w:rFonts w:hint="default" w:ascii="TimesNewRoman" w:hAnsi="TimesNewRoman" w:cs="TimesNewRoman"/>
          <w:szCs w:val="32"/>
          <w:lang w:val="en"/>
        </w:rPr>
        <w:t>3</w:t>
      </w:r>
      <w:r>
        <w:rPr>
          <w:rFonts w:hint="default" w:ascii="TimesNewRoman" w:hAnsi="TimesNewRoman" w:cs="TimesNewRoman"/>
          <w:szCs w:val="32"/>
        </w:rPr>
        <w:t>年，</w:t>
      </w:r>
      <w:r>
        <w:rPr>
          <w:rFonts w:hint="default" w:ascii="TimesNewRoman" w:hAnsi="TimesNewRoman" w:eastAsia="仿宋_GB2312" w:cs="TimesNewRoman"/>
          <w:sz w:val="32"/>
          <w:szCs w:val="32"/>
        </w:rPr>
        <w:t>中国致公党安庆市委员会</w:t>
      </w:r>
      <w:r>
        <w:rPr>
          <w:rFonts w:hint="eastAsia" w:ascii="TimesNewRoman" w:hAnsi="TimesNewRoman" w:cs="TimesNewRoman"/>
          <w:sz w:val="32"/>
          <w:szCs w:val="32"/>
          <w:lang w:val="en-US" w:eastAsia="zh-CN"/>
        </w:rPr>
        <w:t>3</w:t>
      </w:r>
      <w:r>
        <w:rPr>
          <w:rFonts w:hint="default" w:ascii="TimesNewRoman" w:hAnsi="TimesNewRoman" w:cs="TimesNewRoman"/>
          <w:szCs w:val="32"/>
        </w:rPr>
        <w:t>个项目实行了绩效目标管理，涉及一般公共预算当年财政拨款</w:t>
      </w:r>
      <w:r>
        <w:rPr>
          <w:rFonts w:hint="eastAsia" w:ascii="TimesNewRoman" w:hAnsi="TimesNewRoman" w:cs="TimesNewRoman"/>
          <w:szCs w:val="32"/>
          <w:lang w:val="en-US" w:eastAsia="zh-CN"/>
        </w:rPr>
        <w:t>17.9</w:t>
      </w:r>
      <w:r>
        <w:rPr>
          <w:rFonts w:hint="default" w:ascii="TimesNewRoman" w:hAnsi="TimesNewRoman" w:cs="TimesNewRoman"/>
          <w:szCs w:val="32"/>
        </w:rPr>
        <w:t>万元、政府性基金预算当年财政拨款</w:t>
      </w:r>
      <w:r>
        <w:rPr>
          <w:rFonts w:hint="eastAsia" w:ascii="TimesNewRoman" w:hAnsi="TimesNewRoman" w:cs="TimesNewRoman"/>
          <w:szCs w:val="32"/>
          <w:lang w:val="en-US" w:eastAsia="zh-CN"/>
        </w:rPr>
        <w:t>0</w:t>
      </w:r>
      <w:r>
        <w:rPr>
          <w:rFonts w:hint="default" w:ascii="TimesNewRoman" w:hAnsi="TimesNewRoman" w:cs="TimesNewRoman"/>
          <w:szCs w:val="32"/>
        </w:rPr>
        <w:t>万元、国有资本经营预算当年财政拨款</w:t>
      </w:r>
      <w:r>
        <w:rPr>
          <w:rFonts w:hint="eastAsia" w:ascii="TimesNewRoman" w:hAnsi="TimesNewRoman" w:cs="TimesNewRoman"/>
          <w:szCs w:val="32"/>
          <w:lang w:val="en-US" w:eastAsia="zh-CN"/>
        </w:rPr>
        <w:t>0</w:t>
      </w:r>
      <w:r>
        <w:rPr>
          <w:rFonts w:hint="default" w:ascii="TimesNewRoman" w:hAnsi="TimesNewRoman" w:cs="TimesNewRoman"/>
          <w:szCs w:val="32"/>
        </w:rPr>
        <w:t>万元、财政专户管理资金当年安排</w:t>
      </w:r>
      <w:r>
        <w:rPr>
          <w:rFonts w:hint="eastAsia" w:ascii="TimesNewRoman" w:hAnsi="TimesNewRoman" w:cs="TimesNewRoman"/>
          <w:szCs w:val="32"/>
          <w:lang w:val="en-US" w:eastAsia="zh-CN"/>
        </w:rPr>
        <w:t>0</w:t>
      </w:r>
      <w:r>
        <w:rPr>
          <w:rFonts w:hint="default" w:ascii="TimesNewRoman" w:hAnsi="TimesNewRoman" w:cs="TimesNewRoman"/>
          <w:szCs w:val="32"/>
        </w:rPr>
        <w:t>万元和单位资金当年安排</w:t>
      </w:r>
      <w:r>
        <w:rPr>
          <w:rFonts w:hint="eastAsia" w:ascii="TimesNewRoman" w:hAnsi="TimesNewRoman" w:cs="TimesNewRoman"/>
          <w:szCs w:val="32"/>
          <w:lang w:val="en-US" w:eastAsia="zh-CN"/>
        </w:rPr>
        <w:t>0</w:t>
      </w:r>
      <w:r>
        <w:rPr>
          <w:rFonts w:hint="default" w:ascii="TimesNewRoman" w:hAnsi="TimesNewRoman" w:cs="TimesNewRoman"/>
          <w:szCs w:val="32"/>
        </w:rPr>
        <w:t>万元。</w:t>
      </w:r>
    </w:p>
    <w:p>
      <w:pPr>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sz w:val="36"/>
          <w:szCs w:val="36"/>
        </w:rPr>
      </w:pPr>
    </w:p>
    <w:p>
      <w:pPr>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sz w:val="36"/>
          <w:szCs w:val="36"/>
        </w:rPr>
      </w:pPr>
    </w:p>
    <w:p>
      <w:pPr>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sz w:val="36"/>
          <w:szCs w:val="36"/>
        </w:rPr>
      </w:pPr>
      <w:r>
        <w:rPr>
          <w:rFonts w:hint="default" w:ascii="TimesNewRoman" w:hAnsi="TimesNewRoman" w:eastAsia="黑体" w:cs="TimesNewRoman"/>
          <w:sz w:val="36"/>
          <w:szCs w:val="36"/>
        </w:rPr>
        <w:t>第四部分 名词解释</w:t>
      </w:r>
    </w:p>
    <w:p>
      <w:pPr>
        <w:keepNext w:val="0"/>
        <w:keepLines w:val="0"/>
        <w:pageBreakBefore w:val="0"/>
        <w:kinsoku/>
        <w:overflowPunct/>
        <w:topLinePunct w:val="0"/>
        <w:autoSpaceDE/>
        <w:autoSpaceDN/>
        <w:bidi w:val="0"/>
        <w:adjustRightInd w:val="0"/>
        <w:snapToGrid w:val="0"/>
        <w:spacing w:line="560" w:lineRule="exact"/>
        <w:jc w:val="center"/>
        <w:rPr>
          <w:rFonts w:hint="default" w:ascii="TimesNewRoman" w:hAnsi="TimesNewRoman" w:eastAsia="黑体" w:cs="TimesNewRoman"/>
          <w:szCs w:val="32"/>
        </w:rPr>
      </w:pPr>
    </w:p>
    <w:p>
      <w:pPr>
        <w:keepNext w:val="0"/>
        <w:keepLines w:val="0"/>
        <w:pageBreakBefore w:val="0"/>
        <w:kinsoku/>
        <w:overflowPunct/>
        <w:topLinePunct w:val="0"/>
        <w:autoSpaceDE/>
        <w:autoSpaceDN/>
        <w:bidi w:val="0"/>
        <w:adjustRightInd w:val="0"/>
        <w:snapToGrid w:val="0"/>
        <w:spacing w:line="560" w:lineRule="exact"/>
        <w:ind w:firstLine="640" w:firstLineChars="200"/>
        <w:rPr>
          <w:rFonts w:hint="default" w:ascii="TimesNewRoman" w:hAnsi="TimesNewRoman" w:cs="TimesNewRoman"/>
          <w:szCs w:val="32"/>
        </w:rPr>
      </w:pPr>
      <w:r>
        <w:rPr>
          <w:rFonts w:hint="default" w:ascii="TimesNewRoman" w:hAnsi="TimesNewRoman" w:eastAsia="黑体" w:cs="TimesNewRoman"/>
          <w:szCs w:val="32"/>
        </w:rPr>
        <w:t>一、财政拨款收入</w:t>
      </w:r>
      <w:r>
        <w:rPr>
          <w:rFonts w:hint="default" w:ascii="TimesNewRoman" w:hAnsi="TimesNewRoman" w:cs="TimesNewRoman"/>
          <w:b/>
          <w:szCs w:val="32"/>
        </w:rPr>
        <w:t>：</w:t>
      </w:r>
      <w:r>
        <w:rPr>
          <w:rFonts w:hint="default" w:ascii="TimesNewRoman" w:hAnsi="TimesNewRoman" w:cs="TimesNewRoman"/>
          <w:szCs w:val="32"/>
        </w:rPr>
        <w:t>指部门或单位从同级财政部门取得的财政预算资金。</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黑体" w:cs="TimesNewRoman"/>
          <w:sz w:val="32"/>
          <w:szCs w:val="32"/>
        </w:rPr>
      </w:pPr>
      <w:r>
        <w:rPr>
          <w:rFonts w:hint="default" w:ascii="TimesNewRoman" w:hAnsi="TimesNewRoman" w:eastAsia="黑体" w:cs="TimesNewRoman"/>
          <w:sz w:val="32"/>
          <w:szCs w:val="32"/>
        </w:rPr>
        <w:t>二、事业收入：</w:t>
      </w:r>
      <w:r>
        <w:rPr>
          <w:rFonts w:hint="default" w:ascii="TimesNewRoman" w:hAnsi="TimesNewRoman" w:eastAsia="仿宋_GB2312" w:cs="TimesNewRoman"/>
          <w:sz w:val="32"/>
          <w:szCs w:val="32"/>
        </w:rPr>
        <w:t>指事业单位开展专业业务活动及辅助活动所取得的收入。</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仿宋_GB2312" w:cs="TimesNewRoman"/>
          <w:sz w:val="32"/>
          <w:szCs w:val="32"/>
        </w:rPr>
      </w:pPr>
      <w:r>
        <w:rPr>
          <w:rFonts w:hint="default" w:ascii="TimesNewRoman" w:hAnsi="TimesNewRoman" w:eastAsia="黑体" w:cs="TimesNewRoman"/>
          <w:sz w:val="32"/>
          <w:szCs w:val="32"/>
        </w:rPr>
        <w:t>三、财政专户管理资金：</w:t>
      </w:r>
      <w:r>
        <w:rPr>
          <w:rFonts w:hint="default" w:ascii="TimesNewRoman" w:hAnsi="TimesNewRoman" w:eastAsia="仿宋_GB2312" w:cs="TimesNewRoman"/>
          <w:sz w:val="32"/>
          <w:szCs w:val="32"/>
        </w:rPr>
        <w:t>指按照非税收入管理相关规定，纳入财政专户管理的教育收费等。</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仿宋_GB2312" w:cs="TimesNewRoman"/>
          <w:sz w:val="32"/>
          <w:szCs w:val="32"/>
        </w:rPr>
      </w:pPr>
      <w:r>
        <w:rPr>
          <w:rFonts w:hint="default" w:ascii="TimesNewRoman" w:hAnsi="TimesNewRoman" w:eastAsia="黑体" w:cs="TimesNewRoman"/>
          <w:sz w:val="32"/>
          <w:szCs w:val="32"/>
        </w:rPr>
        <w:t>四、事业单位经营收入：</w:t>
      </w:r>
      <w:r>
        <w:rPr>
          <w:rFonts w:hint="default" w:ascii="TimesNewRoman" w:hAnsi="TimesNewRoman" w:eastAsia="仿宋_GB2312" w:cs="TimesNewRoman"/>
          <w:sz w:val="32"/>
          <w:szCs w:val="32"/>
        </w:rPr>
        <w:t>指事业单位在专业业务活动及其辅助活动之外开展非独立核算经营活动取得的收入。</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仿宋_GB2312" w:cs="TimesNewRoman"/>
          <w:sz w:val="32"/>
          <w:szCs w:val="32"/>
        </w:rPr>
      </w:pPr>
      <w:r>
        <w:rPr>
          <w:rFonts w:hint="default" w:ascii="TimesNewRoman" w:hAnsi="TimesNewRoman" w:eastAsia="黑体" w:cs="TimesNewRoman"/>
          <w:sz w:val="32"/>
          <w:szCs w:val="32"/>
        </w:rPr>
        <w:t>五、附属单位上缴收入：</w:t>
      </w:r>
      <w:r>
        <w:rPr>
          <w:rFonts w:hint="default" w:ascii="TimesNewRoman" w:hAnsi="TimesNewRoman" w:eastAsia="仿宋_GB2312" w:cs="TimesNewRoman"/>
          <w:sz w:val="32"/>
          <w:szCs w:val="32"/>
        </w:rPr>
        <w:t>本单位所属下级单位上缴给本单位的全部收入。</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仿宋_GB2312" w:cs="TimesNewRoman"/>
          <w:sz w:val="32"/>
          <w:szCs w:val="32"/>
        </w:rPr>
      </w:pPr>
      <w:r>
        <w:rPr>
          <w:rFonts w:hint="default" w:ascii="TimesNewRoman" w:hAnsi="TimesNewRoman" w:eastAsia="黑体" w:cs="TimesNewRoman"/>
          <w:sz w:val="32"/>
          <w:szCs w:val="32"/>
        </w:rPr>
        <w:t>六、上年结转：</w:t>
      </w:r>
      <w:r>
        <w:rPr>
          <w:rFonts w:hint="default" w:ascii="TimesNewRoman" w:hAnsi="TimesNewRoman" w:eastAsia="仿宋_GB2312" w:cs="TimesNewRoman"/>
          <w:sz w:val="32"/>
          <w:szCs w:val="32"/>
        </w:rPr>
        <w:t>指以前年度安排、结转到本年仍按原用途继续使用的资金。</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仿宋_GB2312" w:cs="TimesNewRoman"/>
          <w:sz w:val="32"/>
          <w:szCs w:val="32"/>
        </w:rPr>
      </w:pPr>
      <w:r>
        <w:rPr>
          <w:rFonts w:hint="default" w:ascii="TimesNewRoman" w:hAnsi="TimesNewRoman" w:eastAsia="黑体" w:cs="TimesNewRoman"/>
          <w:sz w:val="32"/>
          <w:szCs w:val="32"/>
        </w:rPr>
        <w:t>七、结转下年：</w:t>
      </w:r>
      <w:r>
        <w:rPr>
          <w:rFonts w:hint="default" w:ascii="TimesNewRoman" w:hAnsi="TimesNewRoman" w:eastAsia="仿宋_GB2312" w:cs="TimesNewRoman"/>
          <w:sz w:val="32"/>
          <w:szCs w:val="32"/>
        </w:rPr>
        <w:t>指以前年度预算安排、因客观条件发生变化无法按原计划实施，需以后年度按原用途继续使用的资金。</w:t>
      </w:r>
    </w:p>
    <w:p>
      <w:pPr>
        <w:pStyle w:val="3"/>
        <w:keepNext w:val="0"/>
        <w:keepLines w:val="0"/>
        <w:pageBreakBefore w:val="0"/>
        <w:kinsoku/>
        <w:overflowPunct/>
        <w:topLinePunct w:val="0"/>
        <w:autoSpaceDE/>
        <w:autoSpaceDN/>
        <w:bidi w:val="0"/>
        <w:adjustRightInd w:val="0"/>
        <w:snapToGrid w:val="0"/>
        <w:spacing w:line="560" w:lineRule="exact"/>
        <w:ind w:firstLine="627" w:firstLineChars="196"/>
        <w:rPr>
          <w:rFonts w:hint="default" w:ascii="TimesNewRoman" w:hAnsi="TimesNewRoman" w:eastAsia="仿宋_GB2312" w:cs="TimesNewRoman"/>
          <w:sz w:val="32"/>
          <w:szCs w:val="32"/>
        </w:rPr>
      </w:pPr>
      <w:r>
        <w:rPr>
          <w:rFonts w:hint="default" w:ascii="TimesNewRoman" w:hAnsi="TimesNewRoman" w:eastAsia="黑体" w:cs="TimesNewRoman"/>
          <w:sz w:val="32"/>
          <w:szCs w:val="32"/>
        </w:rPr>
        <w:t>八、基本支出</w:t>
      </w:r>
      <w:r>
        <w:rPr>
          <w:rFonts w:hint="default" w:ascii="TimesNewRoman" w:hAnsi="TimesNewRoman" w:eastAsia="仿宋_GB2312" w:cs="TimesNewRoman"/>
          <w:b/>
          <w:sz w:val="32"/>
          <w:szCs w:val="32"/>
        </w:rPr>
        <w:t>：</w:t>
      </w:r>
      <w:r>
        <w:rPr>
          <w:rFonts w:hint="default" w:ascii="TimesNewRoman" w:hAnsi="TimesNewRoman" w:eastAsia="仿宋_GB2312" w:cs="TimesNewRoman"/>
          <w:sz w:val="32"/>
          <w:szCs w:val="32"/>
        </w:rPr>
        <w:t>指为保障机构正常运转、完成日常工作任务而发生的人员支出和公用支出。</w:t>
      </w:r>
    </w:p>
    <w:p>
      <w:pPr>
        <w:pStyle w:val="3"/>
        <w:keepNext w:val="0"/>
        <w:keepLines w:val="0"/>
        <w:pageBreakBefore w:val="0"/>
        <w:kinsoku/>
        <w:overflowPunct/>
        <w:topLinePunct w:val="0"/>
        <w:autoSpaceDE/>
        <w:autoSpaceDN/>
        <w:bidi w:val="0"/>
        <w:spacing w:line="560" w:lineRule="exact"/>
        <w:ind w:firstLine="627" w:firstLineChars="196"/>
        <w:rPr>
          <w:rFonts w:hint="eastAsia" w:ascii="TimesNewRoman" w:hAnsi="TimesNewRoman" w:eastAsia="仿宋_GB2312" w:cs="TimesNewRoman"/>
          <w:sz w:val="32"/>
          <w:szCs w:val="32"/>
          <w:lang w:eastAsia="zh-CN"/>
        </w:rPr>
      </w:pPr>
      <w:r>
        <w:rPr>
          <w:rFonts w:hint="default" w:ascii="TimesNewRoman" w:hAnsi="TimesNewRoman" w:eastAsia="黑体" w:cs="TimesNewRoman"/>
          <w:sz w:val="32"/>
          <w:szCs w:val="32"/>
        </w:rPr>
        <w:t>九、项目支出</w:t>
      </w:r>
      <w:r>
        <w:rPr>
          <w:rFonts w:hint="default" w:ascii="TimesNewRoman" w:hAnsi="TimesNewRoman" w:eastAsia="仿宋_GB2312" w:cs="TimesNewRoman"/>
          <w:b/>
          <w:sz w:val="32"/>
          <w:szCs w:val="32"/>
        </w:rPr>
        <w:t>：</w:t>
      </w:r>
      <w:r>
        <w:rPr>
          <w:rFonts w:hint="default" w:ascii="TimesNewRoman" w:hAnsi="TimesNewRoman" w:eastAsia="仿宋_GB2312" w:cs="TimesNewRoman"/>
          <w:sz w:val="32"/>
          <w:szCs w:val="32"/>
        </w:rPr>
        <w:t>指在除基本支出之外的支出，主要用于完成特定的工作任务和事业发展目标。</w:t>
      </w:r>
    </w:p>
    <w:p>
      <w:pPr>
        <w:pStyle w:val="3"/>
        <w:keepNext w:val="0"/>
        <w:keepLines w:val="0"/>
        <w:pageBreakBefore w:val="0"/>
        <w:kinsoku/>
        <w:overflowPunct/>
        <w:topLinePunct w:val="0"/>
        <w:autoSpaceDE/>
        <w:autoSpaceDN/>
        <w:bidi w:val="0"/>
        <w:spacing w:line="560" w:lineRule="exact"/>
        <w:ind w:firstLine="627" w:firstLineChars="196"/>
      </w:pPr>
      <w:r>
        <w:rPr>
          <w:rFonts w:hint="default" w:ascii="TimesNewRoman" w:hAnsi="TimesNewRoman" w:eastAsia="黑体" w:cs="TimesNewRoman"/>
          <w:sz w:val="32"/>
          <w:szCs w:val="32"/>
        </w:rPr>
        <w:t xml:space="preserve">    十、机关运行经费:</w:t>
      </w:r>
      <w:r>
        <w:rPr>
          <w:rFonts w:hint="default" w:ascii="TimesNewRoman" w:hAnsi="TimesNewRoman" w:eastAsia="仿宋_GB2312" w:cs="TimesNewRoman"/>
          <w:sz w:val="32"/>
          <w:szCs w:val="32"/>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TimesNewRoman">
    <w:altName w:val="Times New Roman"/>
    <w:panose1 w:val="02020603050405020304"/>
    <w:charset w:val="00"/>
    <w:family w:val="auto"/>
    <w:pitch w:val="default"/>
    <w:sig w:usb0="00000000" w:usb1="00000000" w:usb2="00000029" w:usb3="00000000" w:csb0="600001FF" w:csb1="FFFF0000"/>
  </w:font>
  <w:font w:name="华文中宋">
    <w:altName w:val="宋体"/>
    <w:panose1 w:val="02010600040101010101"/>
    <w:charset w:val="00"/>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AFF9B5"/>
    <w:multiLevelType w:val="singleLevel"/>
    <w:tmpl w:val="46AFF9B5"/>
    <w:lvl w:ilvl="0" w:tentative="0">
      <w:start w:val="1"/>
      <w:numFmt w:val="chineseCounting"/>
      <w:suff w:val="nothing"/>
      <w:lvlText w:val="（%1）"/>
      <w:lvlJc w:val="left"/>
      <w:rPr>
        <w:rFonts w:hint="eastAsia"/>
      </w:rPr>
    </w:lvl>
  </w:abstractNum>
  <w:abstractNum w:abstractNumId="1">
    <w:nsid w:val="61F34332"/>
    <w:multiLevelType w:val="singleLevel"/>
    <w:tmpl w:val="61F34332"/>
    <w:lvl w:ilvl="0" w:tentative="0">
      <w:start w:val="2"/>
      <w:numFmt w:val="chineseCounting"/>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jM2VjYjgwYTE3NGJkNzY0YzY2MjAzZmUzNjYzYTgifQ=="/>
  </w:docVars>
  <w:rsids>
    <w:rsidRoot w:val="00000000"/>
    <w:rsid w:val="001A5EF4"/>
    <w:rsid w:val="00283CA2"/>
    <w:rsid w:val="003F23CE"/>
    <w:rsid w:val="006113EA"/>
    <w:rsid w:val="008B5AE2"/>
    <w:rsid w:val="00914EEE"/>
    <w:rsid w:val="00A1311C"/>
    <w:rsid w:val="00AE481B"/>
    <w:rsid w:val="00BE32F3"/>
    <w:rsid w:val="01486D1D"/>
    <w:rsid w:val="01580E0D"/>
    <w:rsid w:val="01657C13"/>
    <w:rsid w:val="018502B5"/>
    <w:rsid w:val="018A1427"/>
    <w:rsid w:val="018B19B7"/>
    <w:rsid w:val="01A874AB"/>
    <w:rsid w:val="01E92105"/>
    <w:rsid w:val="01FF6109"/>
    <w:rsid w:val="02031DA8"/>
    <w:rsid w:val="022573A2"/>
    <w:rsid w:val="022B28D3"/>
    <w:rsid w:val="023E7AE8"/>
    <w:rsid w:val="023F5782"/>
    <w:rsid w:val="0242141E"/>
    <w:rsid w:val="02661B0D"/>
    <w:rsid w:val="02823BF7"/>
    <w:rsid w:val="02902A6D"/>
    <w:rsid w:val="0293255D"/>
    <w:rsid w:val="02B62D50"/>
    <w:rsid w:val="02DC43D4"/>
    <w:rsid w:val="02E84D81"/>
    <w:rsid w:val="02EC3013"/>
    <w:rsid w:val="0307292B"/>
    <w:rsid w:val="031D4079"/>
    <w:rsid w:val="03435D11"/>
    <w:rsid w:val="039F28FF"/>
    <w:rsid w:val="03B35954"/>
    <w:rsid w:val="03DD7F34"/>
    <w:rsid w:val="04001E75"/>
    <w:rsid w:val="040106FE"/>
    <w:rsid w:val="04120A79"/>
    <w:rsid w:val="04193B67"/>
    <w:rsid w:val="04220FFB"/>
    <w:rsid w:val="043C7E45"/>
    <w:rsid w:val="04494F5A"/>
    <w:rsid w:val="04542774"/>
    <w:rsid w:val="04685F51"/>
    <w:rsid w:val="04975C6D"/>
    <w:rsid w:val="049909B2"/>
    <w:rsid w:val="049A0EC3"/>
    <w:rsid w:val="04AE27D8"/>
    <w:rsid w:val="04BE78CE"/>
    <w:rsid w:val="04BF4488"/>
    <w:rsid w:val="04CE3238"/>
    <w:rsid w:val="04D540E6"/>
    <w:rsid w:val="04FB7FCD"/>
    <w:rsid w:val="05085251"/>
    <w:rsid w:val="053242B0"/>
    <w:rsid w:val="053D2E4C"/>
    <w:rsid w:val="0582105B"/>
    <w:rsid w:val="05A07C29"/>
    <w:rsid w:val="05A269B3"/>
    <w:rsid w:val="05A55A4F"/>
    <w:rsid w:val="05B60983"/>
    <w:rsid w:val="05D465F3"/>
    <w:rsid w:val="05FA116B"/>
    <w:rsid w:val="05FC3E02"/>
    <w:rsid w:val="0600615C"/>
    <w:rsid w:val="06095F7E"/>
    <w:rsid w:val="061578C6"/>
    <w:rsid w:val="06190FCC"/>
    <w:rsid w:val="06273E1D"/>
    <w:rsid w:val="063F28A0"/>
    <w:rsid w:val="066A50C0"/>
    <w:rsid w:val="066C1EB0"/>
    <w:rsid w:val="06705803"/>
    <w:rsid w:val="06834D52"/>
    <w:rsid w:val="06BA4315"/>
    <w:rsid w:val="06BD404D"/>
    <w:rsid w:val="06DE7A78"/>
    <w:rsid w:val="06F832D7"/>
    <w:rsid w:val="06FD08ED"/>
    <w:rsid w:val="07010D05"/>
    <w:rsid w:val="071A324D"/>
    <w:rsid w:val="07261B35"/>
    <w:rsid w:val="07285F7E"/>
    <w:rsid w:val="0730481F"/>
    <w:rsid w:val="0753161B"/>
    <w:rsid w:val="075965D1"/>
    <w:rsid w:val="076F5A8A"/>
    <w:rsid w:val="07992707"/>
    <w:rsid w:val="079B5899"/>
    <w:rsid w:val="07A00B7B"/>
    <w:rsid w:val="07A12A14"/>
    <w:rsid w:val="07EA2C2C"/>
    <w:rsid w:val="07F36EA5"/>
    <w:rsid w:val="080705DD"/>
    <w:rsid w:val="083721DA"/>
    <w:rsid w:val="08380297"/>
    <w:rsid w:val="08723D46"/>
    <w:rsid w:val="08AF047C"/>
    <w:rsid w:val="08C96805"/>
    <w:rsid w:val="08FA1431"/>
    <w:rsid w:val="08FC1F53"/>
    <w:rsid w:val="08FD4BD5"/>
    <w:rsid w:val="08FE4B6C"/>
    <w:rsid w:val="09173115"/>
    <w:rsid w:val="09175C96"/>
    <w:rsid w:val="091A762E"/>
    <w:rsid w:val="09300058"/>
    <w:rsid w:val="09322D34"/>
    <w:rsid w:val="093A6425"/>
    <w:rsid w:val="093C7A3E"/>
    <w:rsid w:val="094552CD"/>
    <w:rsid w:val="094E47E6"/>
    <w:rsid w:val="09546E62"/>
    <w:rsid w:val="095703E7"/>
    <w:rsid w:val="095F03D4"/>
    <w:rsid w:val="09691AA2"/>
    <w:rsid w:val="097528C9"/>
    <w:rsid w:val="09753B8C"/>
    <w:rsid w:val="097D11E5"/>
    <w:rsid w:val="097F6432"/>
    <w:rsid w:val="098B21E0"/>
    <w:rsid w:val="099A30BF"/>
    <w:rsid w:val="09A062BB"/>
    <w:rsid w:val="09A854BB"/>
    <w:rsid w:val="09AD03A9"/>
    <w:rsid w:val="09CF7351"/>
    <w:rsid w:val="09D242E1"/>
    <w:rsid w:val="09DE74BA"/>
    <w:rsid w:val="09E16D67"/>
    <w:rsid w:val="0A0A3635"/>
    <w:rsid w:val="0A2A6FBE"/>
    <w:rsid w:val="0A3B49A6"/>
    <w:rsid w:val="0A3D3331"/>
    <w:rsid w:val="0A457DBF"/>
    <w:rsid w:val="0A563B00"/>
    <w:rsid w:val="0A6D5AA6"/>
    <w:rsid w:val="0A7E2F7C"/>
    <w:rsid w:val="0A982E07"/>
    <w:rsid w:val="0AEE31FE"/>
    <w:rsid w:val="0AF752A3"/>
    <w:rsid w:val="0AFA65B5"/>
    <w:rsid w:val="0AFA7315"/>
    <w:rsid w:val="0AFF6639"/>
    <w:rsid w:val="0B185CF6"/>
    <w:rsid w:val="0B2064C8"/>
    <w:rsid w:val="0B297C00"/>
    <w:rsid w:val="0B7D3B49"/>
    <w:rsid w:val="0B8672C1"/>
    <w:rsid w:val="0BD36BAD"/>
    <w:rsid w:val="0BD52895"/>
    <w:rsid w:val="0BFC5F94"/>
    <w:rsid w:val="0C0F11C5"/>
    <w:rsid w:val="0C131B81"/>
    <w:rsid w:val="0C142456"/>
    <w:rsid w:val="0C403F8E"/>
    <w:rsid w:val="0C4222C8"/>
    <w:rsid w:val="0C507244"/>
    <w:rsid w:val="0C6B239F"/>
    <w:rsid w:val="0C8573BB"/>
    <w:rsid w:val="0C917162"/>
    <w:rsid w:val="0CA3357A"/>
    <w:rsid w:val="0CBB6A44"/>
    <w:rsid w:val="0CBD4046"/>
    <w:rsid w:val="0CD07FFB"/>
    <w:rsid w:val="0CE458BD"/>
    <w:rsid w:val="0D091C25"/>
    <w:rsid w:val="0D2D09C6"/>
    <w:rsid w:val="0D7443F5"/>
    <w:rsid w:val="0D7C07BE"/>
    <w:rsid w:val="0DB8355E"/>
    <w:rsid w:val="0DD97409"/>
    <w:rsid w:val="0DED0F1F"/>
    <w:rsid w:val="0E1C3D4F"/>
    <w:rsid w:val="0E4E63C5"/>
    <w:rsid w:val="0E536FD5"/>
    <w:rsid w:val="0E664FCA"/>
    <w:rsid w:val="0E7D5CC2"/>
    <w:rsid w:val="0EB6385C"/>
    <w:rsid w:val="0EC56499"/>
    <w:rsid w:val="0EC7440A"/>
    <w:rsid w:val="0ED45FD5"/>
    <w:rsid w:val="0ED53E93"/>
    <w:rsid w:val="0EEC1973"/>
    <w:rsid w:val="0EEE7499"/>
    <w:rsid w:val="0EF62FF8"/>
    <w:rsid w:val="0F4175E7"/>
    <w:rsid w:val="0F4A5AD3"/>
    <w:rsid w:val="0F630123"/>
    <w:rsid w:val="0F8C0FCA"/>
    <w:rsid w:val="0FAB599F"/>
    <w:rsid w:val="0FAC4AAC"/>
    <w:rsid w:val="0FC93933"/>
    <w:rsid w:val="0FCE5A58"/>
    <w:rsid w:val="0FE95EB3"/>
    <w:rsid w:val="102F5305"/>
    <w:rsid w:val="10321608"/>
    <w:rsid w:val="104A79A1"/>
    <w:rsid w:val="104B7AD9"/>
    <w:rsid w:val="1053333E"/>
    <w:rsid w:val="1072346A"/>
    <w:rsid w:val="107E0211"/>
    <w:rsid w:val="10837374"/>
    <w:rsid w:val="10C92D41"/>
    <w:rsid w:val="10CF61BA"/>
    <w:rsid w:val="10EA0416"/>
    <w:rsid w:val="116F02A6"/>
    <w:rsid w:val="119314ED"/>
    <w:rsid w:val="119C5DB6"/>
    <w:rsid w:val="119D3640"/>
    <w:rsid w:val="11AB6C6F"/>
    <w:rsid w:val="11C568FB"/>
    <w:rsid w:val="11CA40BC"/>
    <w:rsid w:val="11DD21F0"/>
    <w:rsid w:val="11F71199"/>
    <w:rsid w:val="12080872"/>
    <w:rsid w:val="120F3976"/>
    <w:rsid w:val="123D3C9D"/>
    <w:rsid w:val="124B0A5E"/>
    <w:rsid w:val="125D6F91"/>
    <w:rsid w:val="126F4DF0"/>
    <w:rsid w:val="12704240"/>
    <w:rsid w:val="12BE3184"/>
    <w:rsid w:val="12CC5B18"/>
    <w:rsid w:val="12D44C4A"/>
    <w:rsid w:val="12F81233"/>
    <w:rsid w:val="12FE74DF"/>
    <w:rsid w:val="130F1AF5"/>
    <w:rsid w:val="131A1E3D"/>
    <w:rsid w:val="132655A8"/>
    <w:rsid w:val="13642D27"/>
    <w:rsid w:val="13CB3F3A"/>
    <w:rsid w:val="13D4749D"/>
    <w:rsid w:val="13EC2485"/>
    <w:rsid w:val="13F728F2"/>
    <w:rsid w:val="14040376"/>
    <w:rsid w:val="14196AC8"/>
    <w:rsid w:val="1429376F"/>
    <w:rsid w:val="14296D27"/>
    <w:rsid w:val="14496EAA"/>
    <w:rsid w:val="147E31D1"/>
    <w:rsid w:val="1491049B"/>
    <w:rsid w:val="14B14DA7"/>
    <w:rsid w:val="14C34BB7"/>
    <w:rsid w:val="14C34F24"/>
    <w:rsid w:val="14D6459B"/>
    <w:rsid w:val="14EC2C0E"/>
    <w:rsid w:val="14F93239"/>
    <w:rsid w:val="14FD790E"/>
    <w:rsid w:val="153B5AFC"/>
    <w:rsid w:val="15492ED8"/>
    <w:rsid w:val="155D201D"/>
    <w:rsid w:val="15750668"/>
    <w:rsid w:val="157C42D6"/>
    <w:rsid w:val="159E3DB2"/>
    <w:rsid w:val="159F14ED"/>
    <w:rsid w:val="15B82A65"/>
    <w:rsid w:val="15C01464"/>
    <w:rsid w:val="15CE4FDD"/>
    <w:rsid w:val="16026682"/>
    <w:rsid w:val="16067D5F"/>
    <w:rsid w:val="16113A6D"/>
    <w:rsid w:val="165E276A"/>
    <w:rsid w:val="16675F72"/>
    <w:rsid w:val="16C60CFC"/>
    <w:rsid w:val="170E2759"/>
    <w:rsid w:val="17126C4A"/>
    <w:rsid w:val="172D709F"/>
    <w:rsid w:val="17452FAA"/>
    <w:rsid w:val="17457492"/>
    <w:rsid w:val="175207E1"/>
    <w:rsid w:val="17B40FEE"/>
    <w:rsid w:val="17E0547E"/>
    <w:rsid w:val="17F241EC"/>
    <w:rsid w:val="181B2B09"/>
    <w:rsid w:val="181D6112"/>
    <w:rsid w:val="182061EA"/>
    <w:rsid w:val="183E434B"/>
    <w:rsid w:val="18442101"/>
    <w:rsid w:val="184E2D57"/>
    <w:rsid w:val="184E5004"/>
    <w:rsid w:val="185F598D"/>
    <w:rsid w:val="187722E4"/>
    <w:rsid w:val="189D4236"/>
    <w:rsid w:val="18B5251E"/>
    <w:rsid w:val="18E859E0"/>
    <w:rsid w:val="18EE236E"/>
    <w:rsid w:val="18FA1422"/>
    <w:rsid w:val="192F4B84"/>
    <w:rsid w:val="195B79E2"/>
    <w:rsid w:val="199B021E"/>
    <w:rsid w:val="199B5311"/>
    <w:rsid w:val="19BD63E6"/>
    <w:rsid w:val="19D47DFC"/>
    <w:rsid w:val="19DB27DF"/>
    <w:rsid w:val="19EB1937"/>
    <w:rsid w:val="1A031072"/>
    <w:rsid w:val="1A246465"/>
    <w:rsid w:val="1A37610B"/>
    <w:rsid w:val="1A561B8D"/>
    <w:rsid w:val="1A5C17DF"/>
    <w:rsid w:val="1A837F61"/>
    <w:rsid w:val="1A873799"/>
    <w:rsid w:val="1AA46171"/>
    <w:rsid w:val="1ABA0B77"/>
    <w:rsid w:val="1ABA2925"/>
    <w:rsid w:val="1AD53849"/>
    <w:rsid w:val="1AD87BE9"/>
    <w:rsid w:val="1AE1560F"/>
    <w:rsid w:val="1AE9259A"/>
    <w:rsid w:val="1AF72D98"/>
    <w:rsid w:val="1AF852D6"/>
    <w:rsid w:val="1AFC48D1"/>
    <w:rsid w:val="1B085D60"/>
    <w:rsid w:val="1B6B5E77"/>
    <w:rsid w:val="1B7C5E2D"/>
    <w:rsid w:val="1B7F3E14"/>
    <w:rsid w:val="1B99253B"/>
    <w:rsid w:val="1BB51E76"/>
    <w:rsid w:val="1BC352F1"/>
    <w:rsid w:val="1BC835CF"/>
    <w:rsid w:val="1C27197A"/>
    <w:rsid w:val="1C3A2D11"/>
    <w:rsid w:val="1C49415B"/>
    <w:rsid w:val="1C5D7F04"/>
    <w:rsid w:val="1C6D38F1"/>
    <w:rsid w:val="1C7B7E93"/>
    <w:rsid w:val="1C9660C6"/>
    <w:rsid w:val="1C995AED"/>
    <w:rsid w:val="1CA2753F"/>
    <w:rsid w:val="1CA81EED"/>
    <w:rsid w:val="1CB04E06"/>
    <w:rsid w:val="1CBA7276"/>
    <w:rsid w:val="1CDC0A83"/>
    <w:rsid w:val="1CF53748"/>
    <w:rsid w:val="1D12367A"/>
    <w:rsid w:val="1D29041B"/>
    <w:rsid w:val="1D52505E"/>
    <w:rsid w:val="1D580A9D"/>
    <w:rsid w:val="1D60114C"/>
    <w:rsid w:val="1D656BAC"/>
    <w:rsid w:val="1D706FF1"/>
    <w:rsid w:val="1D8A287C"/>
    <w:rsid w:val="1D8E76F2"/>
    <w:rsid w:val="1DCD0BC2"/>
    <w:rsid w:val="1E036981"/>
    <w:rsid w:val="1E086095"/>
    <w:rsid w:val="1E117787"/>
    <w:rsid w:val="1E210CC9"/>
    <w:rsid w:val="1E3A683F"/>
    <w:rsid w:val="1E5A33DE"/>
    <w:rsid w:val="1E6A6503"/>
    <w:rsid w:val="1E7E1EBC"/>
    <w:rsid w:val="1EA22859"/>
    <w:rsid w:val="1EA57B09"/>
    <w:rsid w:val="1EDD6BD4"/>
    <w:rsid w:val="1EE13A83"/>
    <w:rsid w:val="1EFA5C8F"/>
    <w:rsid w:val="1EFE71A5"/>
    <w:rsid w:val="1F04209A"/>
    <w:rsid w:val="1F0A635F"/>
    <w:rsid w:val="1F143CB5"/>
    <w:rsid w:val="1F2035B9"/>
    <w:rsid w:val="1F2B5951"/>
    <w:rsid w:val="1F3A1848"/>
    <w:rsid w:val="1F447B2B"/>
    <w:rsid w:val="1F5F070B"/>
    <w:rsid w:val="1F7668B4"/>
    <w:rsid w:val="1F823292"/>
    <w:rsid w:val="1F9E39BE"/>
    <w:rsid w:val="1FA10CCC"/>
    <w:rsid w:val="1FAB4936"/>
    <w:rsid w:val="1FAC7314"/>
    <w:rsid w:val="1FB73E20"/>
    <w:rsid w:val="1FB83FFE"/>
    <w:rsid w:val="1FBA2115"/>
    <w:rsid w:val="1FC764A8"/>
    <w:rsid w:val="1FE10BA7"/>
    <w:rsid w:val="20065405"/>
    <w:rsid w:val="202064AD"/>
    <w:rsid w:val="20264354"/>
    <w:rsid w:val="202B2F7F"/>
    <w:rsid w:val="203C513A"/>
    <w:rsid w:val="203C6B3C"/>
    <w:rsid w:val="205737BA"/>
    <w:rsid w:val="205968B4"/>
    <w:rsid w:val="207718FF"/>
    <w:rsid w:val="20866C4D"/>
    <w:rsid w:val="20996984"/>
    <w:rsid w:val="209B0B03"/>
    <w:rsid w:val="20A3314E"/>
    <w:rsid w:val="20A64ECD"/>
    <w:rsid w:val="20B0107F"/>
    <w:rsid w:val="20C5701F"/>
    <w:rsid w:val="20C807E5"/>
    <w:rsid w:val="212C0E0D"/>
    <w:rsid w:val="212D7265"/>
    <w:rsid w:val="2132174A"/>
    <w:rsid w:val="21343A4E"/>
    <w:rsid w:val="213453AC"/>
    <w:rsid w:val="21381C6F"/>
    <w:rsid w:val="21924C23"/>
    <w:rsid w:val="219C09A8"/>
    <w:rsid w:val="21C57E0A"/>
    <w:rsid w:val="21C82D86"/>
    <w:rsid w:val="21CE6EA0"/>
    <w:rsid w:val="21DA11A1"/>
    <w:rsid w:val="21E14C3C"/>
    <w:rsid w:val="21F94694"/>
    <w:rsid w:val="220716EF"/>
    <w:rsid w:val="221272E4"/>
    <w:rsid w:val="22256504"/>
    <w:rsid w:val="22261403"/>
    <w:rsid w:val="223A5A53"/>
    <w:rsid w:val="223F112A"/>
    <w:rsid w:val="228E196F"/>
    <w:rsid w:val="229A4BBC"/>
    <w:rsid w:val="22A43154"/>
    <w:rsid w:val="22D8702E"/>
    <w:rsid w:val="22EE3929"/>
    <w:rsid w:val="23181F6F"/>
    <w:rsid w:val="231C3204"/>
    <w:rsid w:val="231D6C3B"/>
    <w:rsid w:val="23496936"/>
    <w:rsid w:val="2372753E"/>
    <w:rsid w:val="23AB6C9E"/>
    <w:rsid w:val="23D14B62"/>
    <w:rsid w:val="23EE02B2"/>
    <w:rsid w:val="23EE7113"/>
    <w:rsid w:val="240D725F"/>
    <w:rsid w:val="24357EF5"/>
    <w:rsid w:val="24413E26"/>
    <w:rsid w:val="24646F4F"/>
    <w:rsid w:val="24661428"/>
    <w:rsid w:val="246E3969"/>
    <w:rsid w:val="247104F9"/>
    <w:rsid w:val="247926C7"/>
    <w:rsid w:val="247A1986"/>
    <w:rsid w:val="249329CF"/>
    <w:rsid w:val="24B42900"/>
    <w:rsid w:val="24BC6D9C"/>
    <w:rsid w:val="24F11BF1"/>
    <w:rsid w:val="24F305B1"/>
    <w:rsid w:val="24F54FC8"/>
    <w:rsid w:val="24F67C29"/>
    <w:rsid w:val="251B0465"/>
    <w:rsid w:val="251B1408"/>
    <w:rsid w:val="2520145D"/>
    <w:rsid w:val="252407CC"/>
    <w:rsid w:val="252F6068"/>
    <w:rsid w:val="256020CB"/>
    <w:rsid w:val="256753CD"/>
    <w:rsid w:val="257859AF"/>
    <w:rsid w:val="259958B9"/>
    <w:rsid w:val="25A0096A"/>
    <w:rsid w:val="25A77231"/>
    <w:rsid w:val="25D80104"/>
    <w:rsid w:val="25D91208"/>
    <w:rsid w:val="26084E8D"/>
    <w:rsid w:val="261C7313"/>
    <w:rsid w:val="263E5DBC"/>
    <w:rsid w:val="26662D41"/>
    <w:rsid w:val="267D631D"/>
    <w:rsid w:val="26897195"/>
    <w:rsid w:val="268A58A2"/>
    <w:rsid w:val="26967006"/>
    <w:rsid w:val="26BB2A7F"/>
    <w:rsid w:val="26C27826"/>
    <w:rsid w:val="26DA6CCA"/>
    <w:rsid w:val="26E12FFE"/>
    <w:rsid w:val="26EC2B95"/>
    <w:rsid w:val="26ED34FC"/>
    <w:rsid w:val="2703276A"/>
    <w:rsid w:val="27073467"/>
    <w:rsid w:val="270D3319"/>
    <w:rsid w:val="272E0923"/>
    <w:rsid w:val="27326424"/>
    <w:rsid w:val="27394BC2"/>
    <w:rsid w:val="2762030B"/>
    <w:rsid w:val="27972DE6"/>
    <w:rsid w:val="27AD517A"/>
    <w:rsid w:val="27B3177C"/>
    <w:rsid w:val="27BB37EC"/>
    <w:rsid w:val="27C76BD3"/>
    <w:rsid w:val="27CC559D"/>
    <w:rsid w:val="27EB1F26"/>
    <w:rsid w:val="282157D0"/>
    <w:rsid w:val="283D44CE"/>
    <w:rsid w:val="2845744F"/>
    <w:rsid w:val="28681683"/>
    <w:rsid w:val="286839C1"/>
    <w:rsid w:val="287946A7"/>
    <w:rsid w:val="287D1EE8"/>
    <w:rsid w:val="288B7422"/>
    <w:rsid w:val="2897311E"/>
    <w:rsid w:val="28BF362F"/>
    <w:rsid w:val="28CD4C95"/>
    <w:rsid w:val="28D76BDE"/>
    <w:rsid w:val="28DD5A11"/>
    <w:rsid w:val="28DE0072"/>
    <w:rsid w:val="28F37E78"/>
    <w:rsid w:val="2915043A"/>
    <w:rsid w:val="292435F9"/>
    <w:rsid w:val="293C5648"/>
    <w:rsid w:val="29412C2C"/>
    <w:rsid w:val="2943262C"/>
    <w:rsid w:val="29673A90"/>
    <w:rsid w:val="29732B97"/>
    <w:rsid w:val="2976379B"/>
    <w:rsid w:val="297678B5"/>
    <w:rsid w:val="29832F79"/>
    <w:rsid w:val="2994307E"/>
    <w:rsid w:val="29A3655D"/>
    <w:rsid w:val="29AF54B8"/>
    <w:rsid w:val="29B36EBE"/>
    <w:rsid w:val="29C93557"/>
    <w:rsid w:val="29E64F92"/>
    <w:rsid w:val="29F319B0"/>
    <w:rsid w:val="2A3048D8"/>
    <w:rsid w:val="2A32173C"/>
    <w:rsid w:val="2A38174E"/>
    <w:rsid w:val="2A5651BE"/>
    <w:rsid w:val="2A6E3F24"/>
    <w:rsid w:val="2A82256A"/>
    <w:rsid w:val="2AA616E0"/>
    <w:rsid w:val="2ADF2DD5"/>
    <w:rsid w:val="2AED37C8"/>
    <w:rsid w:val="2B005B67"/>
    <w:rsid w:val="2B024BE2"/>
    <w:rsid w:val="2B2A1401"/>
    <w:rsid w:val="2B4B446E"/>
    <w:rsid w:val="2B671819"/>
    <w:rsid w:val="2BA3087E"/>
    <w:rsid w:val="2BC730F4"/>
    <w:rsid w:val="2BCF779E"/>
    <w:rsid w:val="2BD10403"/>
    <w:rsid w:val="2BDA3F71"/>
    <w:rsid w:val="2BE20AFC"/>
    <w:rsid w:val="2BE703CF"/>
    <w:rsid w:val="2BEA0158"/>
    <w:rsid w:val="2BF03A37"/>
    <w:rsid w:val="2BFD08DF"/>
    <w:rsid w:val="2C112450"/>
    <w:rsid w:val="2C33208D"/>
    <w:rsid w:val="2C517089"/>
    <w:rsid w:val="2C57783C"/>
    <w:rsid w:val="2C6C77F8"/>
    <w:rsid w:val="2C6C797F"/>
    <w:rsid w:val="2CB44170"/>
    <w:rsid w:val="2CE459AE"/>
    <w:rsid w:val="2CF35F34"/>
    <w:rsid w:val="2D05030E"/>
    <w:rsid w:val="2D2A3BD6"/>
    <w:rsid w:val="2D492C6F"/>
    <w:rsid w:val="2D5C786C"/>
    <w:rsid w:val="2D787BC5"/>
    <w:rsid w:val="2D8E2CFF"/>
    <w:rsid w:val="2DAB2A07"/>
    <w:rsid w:val="2DDC1CA2"/>
    <w:rsid w:val="2DE629D9"/>
    <w:rsid w:val="2DF56887"/>
    <w:rsid w:val="2E05495F"/>
    <w:rsid w:val="2E072E74"/>
    <w:rsid w:val="2E59138B"/>
    <w:rsid w:val="2E7218E0"/>
    <w:rsid w:val="2E8B396A"/>
    <w:rsid w:val="2E975000"/>
    <w:rsid w:val="2E990B07"/>
    <w:rsid w:val="2EAF2C49"/>
    <w:rsid w:val="2EC2593B"/>
    <w:rsid w:val="2EEB4C33"/>
    <w:rsid w:val="2F016720"/>
    <w:rsid w:val="2F0D32C9"/>
    <w:rsid w:val="2F1848CA"/>
    <w:rsid w:val="2F2A3BC6"/>
    <w:rsid w:val="2F2D7712"/>
    <w:rsid w:val="2F5632A4"/>
    <w:rsid w:val="2F5702EB"/>
    <w:rsid w:val="2F5A1AB0"/>
    <w:rsid w:val="2F5C0AED"/>
    <w:rsid w:val="2F7876C7"/>
    <w:rsid w:val="2F9A20FA"/>
    <w:rsid w:val="2FA518B8"/>
    <w:rsid w:val="2FBD7A13"/>
    <w:rsid w:val="300B5DB8"/>
    <w:rsid w:val="30145578"/>
    <w:rsid w:val="30156E5B"/>
    <w:rsid w:val="301C5F3F"/>
    <w:rsid w:val="30253176"/>
    <w:rsid w:val="303139E4"/>
    <w:rsid w:val="30466CDD"/>
    <w:rsid w:val="30683FAE"/>
    <w:rsid w:val="307D0225"/>
    <w:rsid w:val="308438DA"/>
    <w:rsid w:val="30A47560"/>
    <w:rsid w:val="30A67DC5"/>
    <w:rsid w:val="30D438A6"/>
    <w:rsid w:val="31012C04"/>
    <w:rsid w:val="31115890"/>
    <w:rsid w:val="31273DF1"/>
    <w:rsid w:val="31292481"/>
    <w:rsid w:val="313A6116"/>
    <w:rsid w:val="314519AD"/>
    <w:rsid w:val="316644A7"/>
    <w:rsid w:val="317039DD"/>
    <w:rsid w:val="31876182"/>
    <w:rsid w:val="319F7580"/>
    <w:rsid w:val="31D64091"/>
    <w:rsid w:val="31E401DE"/>
    <w:rsid w:val="3207769F"/>
    <w:rsid w:val="320B1741"/>
    <w:rsid w:val="321212DD"/>
    <w:rsid w:val="322A7D59"/>
    <w:rsid w:val="324F174E"/>
    <w:rsid w:val="32604326"/>
    <w:rsid w:val="326163E3"/>
    <w:rsid w:val="329704B1"/>
    <w:rsid w:val="32BE07FD"/>
    <w:rsid w:val="32CC3469"/>
    <w:rsid w:val="32CE47C7"/>
    <w:rsid w:val="32CF5BC1"/>
    <w:rsid w:val="3314247B"/>
    <w:rsid w:val="332A0B2B"/>
    <w:rsid w:val="3377748D"/>
    <w:rsid w:val="338403F7"/>
    <w:rsid w:val="33A37FA3"/>
    <w:rsid w:val="33A60C3D"/>
    <w:rsid w:val="33A8380B"/>
    <w:rsid w:val="33AA3A36"/>
    <w:rsid w:val="33AD38B5"/>
    <w:rsid w:val="33C10429"/>
    <w:rsid w:val="33D12E98"/>
    <w:rsid w:val="33F8295B"/>
    <w:rsid w:val="341449FD"/>
    <w:rsid w:val="34187A86"/>
    <w:rsid w:val="341D3E16"/>
    <w:rsid w:val="343068C7"/>
    <w:rsid w:val="34394188"/>
    <w:rsid w:val="34440290"/>
    <w:rsid w:val="34521EEB"/>
    <w:rsid w:val="3454466B"/>
    <w:rsid w:val="34700596"/>
    <w:rsid w:val="34744044"/>
    <w:rsid w:val="348A6FBD"/>
    <w:rsid w:val="34CB1762"/>
    <w:rsid w:val="34F73287"/>
    <w:rsid w:val="350B4052"/>
    <w:rsid w:val="350F2889"/>
    <w:rsid w:val="35154281"/>
    <w:rsid w:val="351A5280"/>
    <w:rsid w:val="35254858"/>
    <w:rsid w:val="352B7751"/>
    <w:rsid w:val="353D1EDE"/>
    <w:rsid w:val="35670015"/>
    <w:rsid w:val="35685526"/>
    <w:rsid w:val="35686957"/>
    <w:rsid w:val="35702CB3"/>
    <w:rsid w:val="357F67EE"/>
    <w:rsid w:val="3585389C"/>
    <w:rsid w:val="35A460E9"/>
    <w:rsid w:val="35B00755"/>
    <w:rsid w:val="35B7645A"/>
    <w:rsid w:val="35B86D11"/>
    <w:rsid w:val="35B91782"/>
    <w:rsid w:val="35C46187"/>
    <w:rsid w:val="35D20074"/>
    <w:rsid w:val="3601719A"/>
    <w:rsid w:val="363A37E7"/>
    <w:rsid w:val="363F3BA9"/>
    <w:rsid w:val="3643261C"/>
    <w:rsid w:val="3647401C"/>
    <w:rsid w:val="364A0BAA"/>
    <w:rsid w:val="3675727A"/>
    <w:rsid w:val="367B7189"/>
    <w:rsid w:val="36931366"/>
    <w:rsid w:val="36B3109A"/>
    <w:rsid w:val="36B75CE5"/>
    <w:rsid w:val="37101867"/>
    <w:rsid w:val="3710594F"/>
    <w:rsid w:val="371415F8"/>
    <w:rsid w:val="37607F59"/>
    <w:rsid w:val="37673894"/>
    <w:rsid w:val="37846B9A"/>
    <w:rsid w:val="37857D49"/>
    <w:rsid w:val="378B7329"/>
    <w:rsid w:val="378C5511"/>
    <w:rsid w:val="37927590"/>
    <w:rsid w:val="37A8436D"/>
    <w:rsid w:val="37B4597D"/>
    <w:rsid w:val="37C31AC3"/>
    <w:rsid w:val="37C4756A"/>
    <w:rsid w:val="37C72047"/>
    <w:rsid w:val="37CB7AC8"/>
    <w:rsid w:val="37D10F9D"/>
    <w:rsid w:val="37D37BB2"/>
    <w:rsid w:val="37F356A9"/>
    <w:rsid w:val="38192147"/>
    <w:rsid w:val="3837515E"/>
    <w:rsid w:val="38B30F97"/>
    <w:rsid w:val="38BD1B07"/>
    <w:rsid w:val="38BF1FFC"/>
    <w:rsid w:val="38C5276A"/>
    <w:rsid w:val="38CF6E50"/>
    <w:rsid w:val="38EB69F9"/>
    <w:rsid w:val="38F9608C"/>
    <w:rsid w:val="39141B04"/>
    <w:rsid w:val="39146200"/>
    <w:rsid w:val="39224952"/>
    <w:rsid w:val="39230F3A"/>
    <w:rsid w:val="39390D21"/>
    <w:rsid w:val="393D7D02"/>
    <w:rsid w:val="39846181"/>
    <w:rsid w:val="39921250"/>
    <w:rsid w:val="39995310"/>
    <w:rsid w:val="39A14F85"/>
    <w:rsid w:val="39AD5737"/>
    <w:rsid w:val="39B5458C"/>
    <w:rsid w:val="39D96609"/>
    <w:rsid w:val="39F36F88"/>
    <w:rsid w:val="3A1C285D"/>
    <w:rsid w:val="3A2A0C08"/>
    <w:rsid w:val="3A7A3B47"/>
    <w:rsid w:val="3A8946FD"/>
    <w:rsid w:val="3AB8596C"/>
    <w:rsid w:val="3B0D21A6"/>
    <w:rsid w:val="3B1A0CA9"/>
    <w:rsid w:val="3B324945"/>
    <w:rsid w:val="3B3E764F"/>
    <w:rsid w:val="3B727AEE"/>
    <w:rsid w:val="3BAE5F44"/>
    <w:rsid w:val="3BB645EB"/>
    <w:rsid w:val="3BD90165"/>
    <w:rsid w:val="3BDB4730"/>
    <w:rsid w:val="3C3E26D3"/>
    <w:rsid w:val="3C410359"/>
    <w:rsid w:val="3C4829AA"/>
    <w:rsid w:val="3C540A64"/>
    <w:rsid w:val="3C6C2277"/>
    <w:rsid w:val="3CB15D70"/>
    <w:rsid w:val="3CB33911"/>
    <w:rsid w:val="3CBD5E92"/>
    <w:rsid w:val="3CC607BF"/>
    <w:rsid w:val="3CCC115C"/>
    <w:rsid w:val="3CDB07AE"/>
    <w:rsid w:val="3CE602E9"/>
    <w:rsid w:val="3CEA477C"/>
    <w:rsid w:val="3CF25AF7"/>
    <w:rsid w:val="3D347EBE"/>
    <w:rsid w:val="3DA477EC"/>
    <w:rsid w:val="3DCA514D"/>
    <w:rsid w:val="3DFB65FB"/>
    <w:rsid w:val="3E0414BD"/>
    <w:rsid w:val="3E2C2EE6"/>
    <w:rsid w:val="3E47626F"/>
    <w:rsid w:val="3E4E3000"/>
    <w:rsid w:val="3E5968E1"/>
    <w:rsid w:val="3E6E7092"/>
    <w:rsid w:val="3E761DAB"/>
    <w:rsid w:val="3E820292"/>
    <w:rsid w:val="3E88791F"/>
    <w:rsid w:val="3E8C4942"/>
    <w:rsid w:val="3E9969C1"/>
    <w:rsid w:val="3E9D7BAE"/>
    <w:rsid w:val="3EAA42D5"/>
    <w:rsid w:val="3EAB725E"/>
    <w:rsid w:val="3EBD54CA"/>
    <w:rsid w:val="3F360800"/>
    <w:rsid w:val="3F3643C1"/>
    <w:rsid w:val="3F367F1D"/>
    <w:rsid w:val="3F7531D7"/>
    <w:rsid w:val="3F754F19"/>
    <w:rsid w:val="3F7A2EA7"/>
    <w:rsid w:val="3F8B561D"/>
    <w:rsid w:val="3F8F3AD1"/>
    <w:rsid w:val="3FDF5DA0"/>
    <w:rsid w:val="3FFE7A64"/>
    <w:rsid w:val="40425C45"/>
    <w:rsid w:val="40480B59"/>
    <w:rsid w:val="404F3B64"/>
    <w:rsid w:val="404F4B1C"/>
    <w:rsid w:val="405A79FA"/>
    <w:rsid w:val="40627EA5"/>
    <w:rsid w:val="4074000E"/>
    <w:rsid w:val="40935DBF"/>
    <w:rsid w:val="40B51359"/>
    <w:rsid w:val="40D14886"/>
    <w:rsid w:val="40E31758"/>
    <w:rsid w:val="40EC77C0"/>
    <w:rsid w:val="41055635"/>
    <w:rsid w:val="4110473C"/>
    <w:rsid w:val="411914CE"/>
    <w:rsid w:val="413277CB"/>
    <w:rsid w:val="414E01FC"/>
    <w:rsid w:val="415D3D63"/>
    <w:rsid w:val="416009E4"/>
    <w:rsid w:val="4186602F"/>
    <w:rsid w:val="419470DB"/>
    <w:rsid w:val="41A24DEA"/>
    <w:rsid w:val="41B459F9"/>
    <w:rsid w:val="41BD2B78"/>
    <w:rsid w:val="41F96B04"/>
    <w:rsid w:val="42225567"/>
    <w:rsid w:val="4227255A"/>
    <w:rsid w:val="42324A35"/>
    <w:rsid w:val="42366486"/>
    <w:rsid w:val="425169CA"/>
    <w:rsid w:val="42680CCB"/>
    <w:rsid w:val="426C0A83"/>
    <w:rsid w:val="427D2F87"/>
    <w:rsid w:val="42854444"/>
    <w:rsid w:val="42A56104"/>
    <w:rsid w:val="42B10636"/>
    <w:rsid w:val="42C07BDC"/>
    <w:rsid w:val="42C27F52"/>
    <w:rsid w:val="4318359C"/>
    <w:rsid w:val="431F7916"/>
    <w:rsid w:val="432766DE"/>
    <w:rsid w:val="434D3A87"/>
    <w:rsid w:val="434D7F2B"/>
    <w:rsid w:val="438F02AE"/>
    <w:rsid w:val="439D3608"/>
    <w:rsid w:val="43A37B4B"/>
    <w:rsid w:val="43AA0EDA"/>
    <w:rsid w:val="43CA4BB4"/>
    <w:rsid w:val="43D50CBF"/>
    <w:rsid w:val="43E55538"/>
    <w:rsid w:val="43F737CA"/>
    <w:rsid w:val="4405573A"/>
    <w:rsid w:val="440A60B2"/>
    <w:rsid w:val="441D16AC"/>
    <w:rsid w:val="442C7B41"/>
    <w:rsid w:val="44303D0A"/>
    <w:rsid w:val="443A036B"/>
    <w:rsid w:val="444254AC"/>
    <w:rsid w:val="445B7804"/>
    <w:rsid w:val="44605828"/>
    <w:rsid w:val="446A7047"/>
    <w:rsid w:val="447806E4"/>
    <w:rsid w:val="449063B9"/>
    <w:rsid w:val="44A16E10"/>
    <w:rsid w:val="44A348C3"/>
    <w:rsid w:val="44D35855"/>
    <w:rsid w:val="44DB0A58"/>
    <w:rsid w:val="44DF6774"/>
    <w:rsid w:val="44EF6CC8"/>
    <w:rsid w:val="44F17323"/>
    <w:rsid w:val="45212C53"/>
    <w:rsid w:val="45303C01"/>
    <w:rsid w:val="45320756"/>
    <w:rsid w:val="4597548E"/>
    <w:rsid w:val="459F6D61"/>
    <w:rsid w:val="45A252C3"/>
    <w:rsid w:val="45AA0FF1"/>
    <w:rsid w:val="45DD1D96"/>
    <w:rsid w:val="460C3316"/>
    <w:rsid w:val="46160AA8"/>
    <w:rsid w:val="461F03C2"/>
    <w:rsid w:val="462C25F1"/>
    <w:rsid w:val="462C68D6"/>
    <w:rsid w:val="464A0B20"/>
    <w:rsid w:val="465805F7"/>
    <w:rsid w:val="46585082"/>
    <w:rsid w:val="46632862"/>
    <w:rsid w:val="46755CFC"/>
    <w:rsid w:val="467E0C99"/>
    <w:rsid w:val="46AD73C2"/>
    <w:rsid w:val="46C90B21"/>
    <w:rsid w:val="46E2098A"/>
    <w:rsid w:val="46F75FCB"/>
    <w:rsid w:val="470177A6"/>
    <w:rsid w:val="47136D96"/>
    <w:rsid w:val="473401AA"/>
    <w:rsid w:val="47484F18"/>
    <w:rsid w:val="47603664"/>
    <w:rsid w:val="47962410"/>
    <w:rsid w:val="47C36755"/>
    <w:rsid w:val="47CB2F7A"/>
    <w:rsid w:val="47DB1D81"/>
    <w:rsid w:val="47DF72B0"/>
    <w:rsid w:val="480D68C9"/>
    <w:rsid w:val="48147269"/>
    <w:rsid w:val="48507049"/>
    <w:rsid w:val="485B33EB"/>
    <w:rsid w:val="486847C7"/>
    <w:rsid w:val="486A6E89"/>
    <w:rsid w:val="486F221D"/>
    <w:rsid w:val="487E201D"/>
    <w:rsid w:val="48874D9F"/>
    <w:rsid w:val="48907CB1"/>
    <w:rsid w:val="48961A2D"/>
    <w:rsid w:val="48966E9E"/>
    <w:rsid w:val="48982335"/>
    <w:rsid w:val="489917B6"/>
    <w:rsid w:val="48AC1250"/>
    <w:rsid w:val="48AD1657"/>
    <w:rsid w:val="48B06318"/>
    <w:rsid w:val="48C22461"/>
    <w:rsid w:val="48C579B5"/>
    <w:rsid w:val="48EC135D"/>
    <w:rsid w:val="490219DC"/>
    <w:rsid w:val="495F58B0"/>
    <w:rsid w:val="49691F67"/>
    <w:rsid w:val="49712FB7"/>
    <w:rsid w:val="49812068"/>
    <w:rsid w:val="499540CE"/>
    <w:rsid w:val="4A094482"/>
    <w:rsid w:val="4A0A5165"/>
    <w:rsid w:val="4A233D86"/>
    <w:rsid w:val="4A371627"/>
    <w:rsid w:val="4A467BE5"/>
    <w:rsid w:val="4A473BD2"/>
    <w:rsid w:val="4A690F35"/>
    <w:rsid w:val="4A7F6A4E"/>
    <w:rsid w:val="4A8A42BD"/>
    <w:rsid w:val="4A92309B"/>
    <w:rsid w:val="4AAF6DD6"/>
    <w:rsid w:val="4ABC1E0F"/>
    <w:rsid w:val="4ACB77A3"/>
    <w:rsid w:val="4AE46B51"/>
    <w:rsid w:val="4B14006C"/>
    <w:rsid w:val="4B193622"/>
    <w:rsid w:val="4B3947ED"/>
    <w:rsid w:val="4B6D2D0D"/>
    <w:rsid w:val="4B87139D"/>
    <w:rsid w:val="4B911138"/>
    <w:rsid w:val="4BAA12CC"/>
    <w:rsid w:val="4BB05489"/>
    <w:rsid w:val="4BC4227B"/>
    <w:rsid w:val="4BE86427"/>
    <w:rsid w:val="4BED6FE2"/>
    <w:rsid w:val="4C091DE6"/>
    <w:rsid w:val="4C304481"/>
    <w:rsid w:val="4C4966B6"/>
    <w:rsid w:val="4C6960A2"/>
    <w:rsid w:val="4C6A7A2D"/>
    <w:rsid w:val="4C797A26"/>
    <w:rsid w:val="4CC96A7C"/>
    <w:rsid w:val="4CC96FBD"/>
    <w:rsid w:val="4CE30A60"/>
    <w:rsid w:val="4D023B34"/>
    <w:rsid w:val="4D14517D"/>
    <w:rsid w:val="4D245B13"/>
    <w:rsid w:val="4D2E0486"/>
    <w:rsid w:val="4D493511"/>
    <w:rsid w:val="4D5D1AF0"/>
    <w:rsid w:val="4D6122D2"/>
    <w:rsid w:val="4D6A67DE"/>
    <w:rsid w:val="4D922A31"/>
    <w:rsid w:val="4D9549A9"/>
    <w:rsid w:val="4DA542B8"/>
    <w:rsid w:val="4DAE7640"/>
    <w:rsid w:val="4DB41099"/>
    <w:rsid w:val="4DC7644D"/>
    <w:rsid w:val="4E263853"/>
    <w:rsid w:val="4E3953B4"/>
    <w:rsid w:val="4E433E0B"/>
    <w:rsid w:val="4E556308"/>
    <w:rsid w:val="4E6A1FBF"/>
    <w:rsid w:val="4E915170"/>
    <w:rsid w:val="4EAC212A"/>
    <w:rsid w:val="4EB774AF"/>
    <w:rsid w:val="4EDE24DE"/>
    <w:rsid w:val="4F1E5499"/>
    <w:rsid w:val="4F291120"/>
    <w:rsid w:val="4F413275"/>
    <w:rsid w:val="4F5826C3"/>
    <w:rsid w:val="4F9E2FF8"/>
    <w:rsid w:val="4FA578EF"/>
    <w:rsid w:val="4FC66B4F"/>
    <w:rsid w:val="4FC6760E"/>
    <w:rsid w:val="4FDD43E5"/>
    <w:rsid w:val="4FE8743F"/>
    <w:rsid w:val="4FFC2AF2"/>
    <w:rsid w:val="50016BC6"/>
    <w:rsid w:val="50213AB9"/>
    <w:rsid w:val="503D0653"/>
    <w:rsid w:val="50951C1D"/>
    <w:rsid w:val="50D457E8"/>
    <w:rsid w:val="50DB1A43"/>
    <w:rsid w:val="50DC603A"/>
    <w:rsid w:val="50DF04F8"/>
    <w:rsid w:val="50F97739"/>
    <w:rsid w:val="51031C29"/>
    <w:rsid w:val="51042804"/>
    <w:rsid w:val="51424426"/>
    <w:rsid w:val="516720FF"/>
    <w:rsid w:val="516E477F"/>
    <w:rsid w:val="51AD08B7"/>
    <w:rsid w:val="51C23E52"/>
    <w:rsid w:val="51CC64BF"/>
    <w:rsid w:val="51D768B3"/>
    <w:rsid w:val="5206727E"/>
    <w:rsid w:val="521F5C64"/>
    <w:rsid w:val="52280B1A"/>
    <w:rsid w:val="52311CDA"/>
    <w:rsid w:val="5267521F"/>
    <w:rsid w:val="52806025"/>
    <w:rsid w:val="52823B3C"/>
    <w:rsid w:val="52852ADB"/>
    <w:rsid w:val="52A55AA5"/>
    <w:rsid w:val="52A709A8"/>
    <w:rsid w:val="52D224FA"/>
    <w:rsid w:val="52ED330C"/>
    <w:rsid w:val="52F65DC8"/>
    <w:rsid w:val="53230827"/>
    <w:rsid w:val="53326256"/>
    <w:rsid w:val="539E5C52"/>
    <w:rsid w:val="53C83F0C"/>
    <w:rsid w:val="53CE7BAE"/>
    <w:rsid w:val="54121E88"/>
    <w:rsid w:val="54265EB5"/>
    <w:rsid w:val="54290A41"/>
    <w:rsid w:val="542B1C23"/>
    <w:rsid w:val="54376183"/>
    <w:rsid w:val="549A7CFA"/>
    <w:rsid w:val="54B53CDE"/>
    <w:rsid w:val="54FD23D4"/>
    <w:rsid w:val="550F2BF5"/>
    <w:rsid w:val="55302C62"/>
    <w:rsid w:val="55337AC0"/>
    <w:rsid w:val="553C3FF0"/>
    <w:rsid w:val="55572540"/>
    <w:rsid w:val="55585A08"/>
    <w:rsid w:val="555D2279"/>
    <w:rsid w:val="55674FAA"/>
    <w:rsid w:val="556B0971"/>
    <w:rsid w:val="557258D8"/>
    <w:rsid w:val="55760B01"/>
    <w:rsid w:val="5579652F"/>
    <w:rsid w:val="55CD2ED1"/>
    <w:rsid w:val="560A0912"/>
    <w:rsid w:val="561072C2"/>
    <w:rsid w:val="561F3061"/>
    <w:rsid w:val="563A350C"/>
    <w:rsid w:val="564D5BE3"/>
    <w:rsid w:val="566413BC"/>
    <w:rsid w:val="56666EE2"/>
    <w:rsid w:val="567F7FA4"/>
    <w:rsid w:val="56821B56"/>
    <w:rsid w:val="56843566"/>
    <w:rsid w:val="56D2320D"/>
    <w:rsid w:val="56F17C5E"/>
    <w:rsid w:val="56FC144E"/>
    <w:rsid w:val="5706090B"/>
    <w:rsid w:val="571611D1"/>
    <w:rsid w:val="571C1647"/>
    <w:rsid w:val="573E7E5F"/>
    <w:rsid w:val="57511A67"/>
    <w:rsid w:val="575372A4"/>
    <w:rsid w:val="578B1607"/>
    <w:rsid w:val="57A5175C"/>
    <w:rsid w:val="57C308AA"/>
    <w:rsid w:val="57DD3525"/>
    <w:rsid w:val="57EA57F5"/>
    <w:rsid w:val="57EC5852"/>
    <w:rsid w:val="58020E8D"/>
    <w:rsid w:val="58173CB8"/>
    <w:rsid w:val="58331046"/>
    <w:rsid w:val="584075B5"/>
    <w:rsid w:val="58615A70"/>
    <w:rsid w:val="58823D7B"/>
    <w:rsid w:val="588E402A"/>
    <w:rsid w:val="58D31DB5"/>
    <w:rsid w:val="58DC4871"/>
    <w:rsid w:val="58E64B80"/>
    <w:rsid w:val="58E73BCA"/>
    <w:rsid w:val="58F5461F"/>
    <w:rsid w:val="58FD0FD3"/>
    <w:rsid w:val="59143C78"/>
    <w:rsid w:val="5920394F"/>
    <w:rsid w:val="59613644"/>
    <w:rsid w:val="59910DE4"/>
    <w:rsid w:val="59CF2FF0"/>
    <w:rsid w:val="59D16427"/>
    <w:rsid w:val="59DA72D7"/>
    <w:rsid w:val="59E26C60"/>
    <w:rsid w:val="5A1B05E0"/>
    <w:rsid w:val="5A4341CF"/>
    <w:rsid w:val="5A5A463A"/>
    <w:rsid w:val="5A65617B"/>
    <w:rsid w:val="5A7871A9"/>
    <w:rsid w:val="5A7B29A2"/>
    <w:rsid w:val="5A7C5D14"/>
    <w:rsid w:val="5A875679"/>
    <w:rsid w:val="5A8A1032"/>
    <w:rsid w:val="5A8B3745"/>
    <w:rsid w:val="5AB377A8"/>
    <w:rsid w:val="5ABE63E5"/>
    <w:rsid w:val="5AC460D0"/>
    <w:rsid w:val="5AD757B7"/>
    <w:rsid w:val="5AE464D4"/>
    <w:rsid w:val="5B1F3B03"/>
    <w:rsid w:val="5B231ED3"/>
    <w:rsid w:val="5B5B7A68"/>
    <w:rsid w:val="5B612AFA"/>
    <w:rsid w:val="5B6D3AF1"/>
    <w:rsid w:val="5B7040B8"/>
    <w:rsid w:val="5B870AA1"/>
    <w:rsid w:val="5B9E2668"/>
    <w:rsid w:val="5B9E3920"/>
    <w:rsid w:val="5BA300DD"/>
    <w:rsid w:val="5BB651EC"/>
    <w:rsid w:val="5BBA3F9F"/>
    <w:rsid w:val="5BBB4A37"/>
    <w:rsid w:val="5BC04A1C"/>
    <w:rsid w:val="5BC624CC"/>
    <w:rsid w:val="5BEB4D4F"/>
    <w:rsid w:val="5BEC79CC"/>
    <w:rsid w:val="5C2E7EA5"/>
    <w:rsid w:val="5C3547B6"/>
    <w:rsid w:val="5C5E11E1"/>
    <w:rsid w:val="5C6E0E80"/>
    <w:rsid w:val="5C7E423C"/>
    <w:rsid w:val="5C92662E"/>
    <w:rsid w:val="5CD9479B"/>
    <w:rsid w:val="5CDD3173"/>
    <w:rsid w:val="5CFF3A12"/>
    <w:rsid w:val="5D0B76DD"/>
    <w:rsid w:val="5D213B63"/>
    <w:rsid w:val="5D2D706C"/>
    <w:rsid w:val="5D311701"/>
    <w:rsid w:val="5D646659"/>
    <w:rsid w:val="5D8C7444"/>
    <w:rsid w:val="5DAD3456"/>
    <w:rsid w:val="5DBA0BAA"/>
    <w:rsid w:val="5DC02697"/>
    <w:rsid w:val="5DD44945"/>
    <w:rsid w:val="5DE802AE"/>
    <w:rsid w:val="5E030E12"/>
    <w:rsid w:val="5E03565A"/>
    <w:rsid w:val="5E065096"/>
    <w:rsid w:val="5E2E2387"/>
    <w:rsid w:val="5E3C7BC3"/>
    <w:rsid w:val="5E642BEE"/>
    <w:rsid w:val="5E895E64"/>
    <w:rsid w:val="5E8D3968"/>
    <w:rsid w:val="5EA35664"/>
    <w:rsid w:val="5EA767D4"/>
    <w:rsid w:val="5EC611AF"/>
    <w:rsid w:val="5EE676A6"/>
    <w:rsid w:val="5EED60BB"/>
    <w:rsid w:val="5EF62DCD"/>
    <w:rsid w:val="5F0C2655"/>
    <w:rsid w:val="5F1A12A7"/>
    <w:rsid w:val="5F36585F"/>
    <w:rsid w:val="5F397ED6"/>
    <w:rsid w:val="5F6C2CC1"/>
    <w:rsid w:val="5F717444"/>
    <w:rsid w:val="5F741AAB"/>
    <w:rsid w:val="5F763A7A"/>
    <w:rsid w:val="5F940A34"/>
    <w:rsid w:val="5F971BA8"/>
    <w:rsid w:val="5F994AD8"/>
    <w:rsid w:val="5FA0681B"/>
    <w:rsid w:val="5FBF4F1F"/>
    <w:rsid w:val="5FCC452D"/>
    <w:rsid w:val="5FCF6DF0"/>
    <w:rsid w:val="5FDE48B5"/>
    <w:rsid w:val="5FE93F00"/>
    <w:rsid w:val="60040AA9"/>
    <w:rsid w:val="60070917"/>
    <w:rsid w:val="6010503F"/>
    <w:rsid w:val="60330C34"/>
    <w:rsid w:val="60497FB9"/>
    <w:rsid w:val="606D5C20"/>
    <w:rsid w:val="606E4510"/>
    <w:rsid w:val="60777A42"/>
    <w:rsid w:val="60995B1D"/>
    <w:rsid w:val="60EB5037"/>
    <w:rsid w:val="610C0686"/>
    <w:rsid w:val="611D0AE5"/>
    <w:rsid w:val="61300818"/>
    <w:rsid w:val="61360947"/>
    <w:rsid w:val="61360E99"/>
    <w:rsid w:val="615F42D6"/>
    <w:rsid w:val="617A6AD8"/>
    <w:rsid w:val="618617FC"/>
    <w:rsid w:val="61930DA7"/>
    <w:rsid w:val="61A570BC"/>
    <w:rsid w:val="61A84CB1"/>
    <w:rsid w:val="61B43FA8"/>
    <w:rsid w:val="61C56443"/>
    <w:rsid w:val="61CA03FC"/>
    <w:rsid w:val="61CA4C10"/>
    <w:rsid w:val="61D76A28"/>
    <w:rsid w:val="61F53810"/>
    <w:rsid w:val="61FC5ECD"/>
    <w:rsid w:val="62481D8E"/>
    <w:rsid w:val="627C0859"/>
    <w:rsid w:val="6289016C"/>
    <w:rsid w:val="629821F4"/>
    <w:rsid w:val="629C6518"/>
    <w:rsid w:val="62BC698E"/>
    <w:rsid w:val="62C9075B"/>
    <w:rsid w:val="63096BCD"/>
    <w:rsid w:val="631A59E9"/>
    <w:rsid w:val="633E38CC"/>
    <w:rsid w:val="635B283B"/>
    <w:rsid w:val="63612906"/>
    <w:rsid w:val="6361372A"/>
    <w:rsid w:val="636778DC"/>
    <w:rsid w:val="63750765"/>
    <w:rsid w:val="639433D8"/>
    <w:rsid w:val="63A9074A"/>
    <w:rsid w:val="63CB4828"/>
    <w:rsid w:val="63D82C71"/>
    <w:rsid w:val="63EF3FDC"/>
    <w:rsid w:val="640A096D"/>
    <w:rsid w:val="641938CD"/>
    <w:rsid w:val="641A4289"/>
    <w:rsid w:val="643B44EE"/>
    <w:rsid w:val="643F321F"/>
    <w:rsid w:val="644222AC"/>
    <w:rsid w:val="647A00FA"/>
    <w:rsid w:val="64AD6316"/>
    <w:rsid w:val="64B54927"/>
    <w:rsid w:val="64C80D68"/>
    <w:rsid w:val="64CA09DE"/>
    <w:rsid w:val="64D91595"/>
    <w:rsid w:val="64E9591F"/>
    <w:rsid w:val="651421FF"/>
    <w:rsid w:val="6514683E"/>
    <w:rsid w:val="651D164D"/>
    <w:rsid w:val="651F3095"/>
    <w:rsid w:val="654B4692"/>
    <w:rsid w:val="655F6846"/>
    <w:rsid w:val="658208B2"/>
    <w:rsid w:val="658237C2"/>
    <w:rsid w:val="65950903"/>
    <w:rsid w:val="65B26D89"/>
    <w:rsid w:val="65EE49A2"/>
    <w:rsid w:val="661D55A5"/>
    <w:rsid w:val="66380F48"/>
    <w:rsid w:val="663C2619"/>
    <w:rsid w:val="664118FF"/>
    <w:rsid w:val="667264C2"/>
    <w:rsid w:val="667573F1"/>
    <w:rsid w:val="667716F2"/>
    <w:rsid w:val="66795579"/>
    <w:rsid w:val="66A55805"/>
    <w:rsid w:val="66B92AED"/>
    <w:rsid w:val="66BF4D74"/>
    <w:rsid w:val="66BF5706"/>
    <w:rsid w:val="66E94409"/>
    <w:rsid w:val="670C775B"/>
    <w:rsid w:val="67160170"/>
    <w:rsid w:val="67191D4F"/>
    <w:rsid w:val="67212645"/>
    <w:rsid w:val="67362184"/>
    <w:rsid w:val="675458DF"/>
    <w:rsid w:val="676F05C0"/>
    <w:rsid w:val="67CA4870"/>
    <w:rsid w:val="67D132E3"/>
    <w:rsid w:val="67D62508"/>
    <w:rsid w:val="67FE36BA"/>
    <w:rsid w:val="6805552E"/>
    <w:rsid w:val="680605EC"/>
    <w:rsid w:val="682315FF"/>
    <w:rsid w:val="68543B23"/>
    <w:rsid w:val="687528AD"/>
    <w:rsid w:val="68996255"/>
    <w:rsid w:val="68DB67D8"/>
    <w:rsid w:val="68FB2C48"/>
    <w:rsid w:val="68FE75A8"/>
    <w:rsid w:val="69185881"/>
    <w:rsid w:val="69196101"/>
    <w:rsid w:val="693F18F5"/>
    <w:rsid w:val="69602951"/>
    <w:rsid w:val="697051FC"/>
    <w:rsid w:val="698B0301"/>
    <w:rsid w:val="69A5645F"/>
    <w:rsid w:val="69CE6E20"/>
    <w:rsid w:val="69E16E1F"/>
    <w:rsid w:val="69E36B89"/>
    <w:rsid w:val="69F55630"/>
    <w:rsid w:val="6A05787F"/>
    <w:rsid w:val="6A1B3776"/>
    <w:rsid w:val="6A3A5CA9"/>
    <w:rsid w:val="6A3D5D54"/>
    <w:rsid w:val="6A5437CA"/>
    <w:rsid w:val="6A670D9E"/>
    <w:rsid w:val="6A6746D6"/>
    <w:rsid w:val="6A8504FF"/>
    <w:rsid w:val="6A8B194F"/>
    <w:rsid w:val="6A8C62E5"/>
    <w:rsid w:val="6AC00863"/>
    <w:rsid w:val="6AC10733"/>
    <w:rsid w:val="6AD5589C"/>
    <w:rsid w:val="6AD81A35"/>
    <w:rsid w:val="6AEE0529"/>
    <w:rsid w:val="6B1B6095"/>
    <w:rsid w:val="6B2337CA"/>
    <w:rsid w:val="6B252A70"/>
    <w:rsid w:val="6B32198D"/>
    <w:rsid w:val="6B525B3D"/>
    <w:rsid w:val="6B632816"/>
    <w:rsid w:val="6B7940E6"/>
    <w:rsid w:val="6B9D3599"/>
    <w:rsid w:val="6BA7611D"/>
    <w:rsid w:val="6BAB65F5"/>
    <w:rsid w:val="6BB24FA5"/>
    <w:rsid w:val="6BBB33D4"/>
    <w:rsid w:val="6BD06883"/>
    <w:rsid w:val="6BE22E83"/>
    <w:rsid w:val="6BF81163"/>
    <w:rsid w:val="6C07486C"/>
    <w:rsid w:val="6C185087"/>
    <w:rsid w:val="6C5A3688"/>
    <w:rsid w:val="6C787D9D"/>
    <w:rsid w:val="6C970327"/>
    <w:rsid w:val="6CE912F5"/>
    <w:rsid w:val="6D0F5F13"/>
    <w:rsid w:val="6D105919"/>
    <w:rsid w:val="6D150E1D"/>
    <w:rsid w:val="6D174322"/>
    <w:rsid w:val="6D255F5D"/>
    <w:rsid w:val="6D2B56B8"/>
    <w:rsid w:val="6D340D75"/>
    <w:rsid w:val="6D3B3692"/>
    <w:rsid w:val="6D5E4D93"/>
    <w:rsid w:val="6D6226BA"/>
    <w:rsid w:val="6D995F74"/>
    <w:rsid w:val="6DA700B4"/>
    <w:rsid w:val="6DA82C7E"/>
    <w:rsid w:val="6DC6730C"/>
    <w:rsid w:val="6DD34C59"/>
    <w:rsid w:val="6DD448AD"/>
    <w:rsid w:val="6DEF1B61"/>
    <w:rsid w:val="6DFD7A69"/>
    <w:rsid w:val="6E4924C8"/>
    <w:rsid w:val="6E5058FF"/>
    <w:rsid w:val="6E575A44"/>
    <w:rsid w:val="6E7A4F1D"/>
    <w:rsid w:val="6E8B730A"/>
    <w:rsid w:val="6E8E4DD0"/>
    <w:rsid w:val="6EA0132C"/>
    <w:rsid w:val="6EAD160D"/>
    <w:rsid w:val="6EB011EB"/>
    <w:rsid w:val="6EB347EA"/>
    <w:rsid w:val="6EF07671"/>
    <w:rsid w:val="6EFF59CA"/>
    <w:rsid w:val="6F031C6E"/>
    <w:rsid w:val="6F174DC6"/>
    <w:rsid w:val="6F3020F2"/>
    <w:rsid w:val="6F3B6D06"/>
    <w:rsid w:val="6F500FC9"/>
    <w:rsid w:val="6F590963"/>
    <w:rsid w:val="6F656B2A"/>
    <w:rsid w:val="6F714668"/>
    <w:rsid w:val="6F7665A0"/>
    <w:rsid w:val="6F7A593F"/>
    <w:rsid w:val="6F80351F"/>
    <w:rsid w:val="6F80406A"/>
    <w:rsid w:val="6F871C38"/>
    <w:rsid w:val="6FBE7937"/>
    <w:rsid w:val="6FD137A4"/>
    <w:rsid w:val="6FE61142"/>
    <w:rsid w:val="6FF310C1"/>
    <w:rsid w:val="6FF44A9C"/>
    <w:rsid w:val="70062501"/>
    <w:rsid w:val="702538B7"/>
    <w:rsid w:val="7036127C"/>
    <w:rsid w:val="70435388"/>
    <w:rsid w:val="704E0CBB"/>
    <w:rsid w:val="7060678D"/>
    <w:rsid w:val="70794377"/>
    <w:rsid w:val="710870BC"/>
    <w:rsid w:val="711A5B65"/>
    <w:rsid w:val="711D218F"/>
    <w:rsid w:val="712E4D15"/>
    <w:rsid w:val="713E7977"/>
    <w:rsid w:val="71661E86"/>
    <w:rsid w:val="717D6D68"/>
    <w:rsid w:val="71983756"/>
    <w:rsid w:val="71C92A12"/>
    <w:rsid w:val="71DF1E89"/>
    <w:rsid w:val="72037883"/>
    <w:rsid w:val="721554F9"/>
    <w:rsid w:val="72425EFB"/>
    <w:rsid w:val="72620CAD"/>
    <w:rsid w:val="7263671B"/>
    <w:rsid w:val="72663C92"/>
    <w:rsid w:val="72B74996"/>
    <w:rsid w:val="72BD34FF"/>
    <w:rsid w:val="72CF5E49"/>
    <w:rsid w:val="72DA00C9"/>
    <w:rsid w:val="72DE409F"/>
    <w:rsid w:val="72F9456C"/>
    <w:rsid w:val="730616C8"/>
    <w:rsid w:val="73165394"/>
    <w:rsid w:val="73195934"/>
    <w:rsid w:val="731A5131"/>
    <w:rsid w:val="731B493B"/>
    <w:rsid w:val="733B7325"/>
    <w:rsid w:val="73406413"/>
    <w:rsid w:val="73471BB0"/>
    <w:rsid w:val="73A0364C"/>
    <w:rsid w:val="73B467B4"/>
    <w:rsid w:val="73B91281"/>
    <w:rsid w:val="73BC5F3C"/>
    <w:rsid w:val="73DC213A"/>
    <w:rsid w:val="73F15BD1"/>
    <w:rsid w:val="73F91155"/>
    <w:rsid w:val="740B66DE"/>
    <w:rsid w:val="743E785E"/>
    <w:rsid w:val="74623A4F"/>
    <w:rsid w:val="74DA770E"/>
    <w:rsid w:val="74F02488"/>
    <w:rsid w:val="751704DE"/>
    <w:rsid w:val="75343EB8"/>
    <w:rsid w:val="753830E1"/>
    <w:rsid w:val="75667D4C"/>
    <w:rsid w:val="757A4D87"/>
    <w:rsid w:val="75935452"/>
    <w:rsid w:val="75E34125"/>
    <w:rsid w:val="762E29F8"/>
    <w:rsid w:val="764D792F"/>
    <w:rsid w:val="764E34B5"/>
    <w:rsid w:val="76715B15"/>
    <w:rsid w:val="769E7B7E"/>
    <w:rsid w:val="76E126D2"/>
    <w:rsid w:val="76FD16AF"/>
    <w:rsid w:val="77147FA6"/>
    <w:rsid w:val="77267993"/>
    <w:rsid w:val="772E6A2D"/>
    <w:rsid w:val="77686715"/>
    <w:rsid w:val="776E1727"/>
    <w:rsid w:val="779F4693"/>
    <w:rsid w:val="77A31B21"/>
    <w:rsid w:val="77B07669"/>
    <w:rsid w:val="77C11D73"/>
    <w:rsid w:val="77CF26E1"/>
    <w:rsid w:val="77DB26FD"/>
    <w:rsid w:val="77DE1FE6"/>
    <w:rsid w:val="77EC740D"/>
    <w:rsid w:val="78154A2B"/>
    <w:rsid w:val="782B108E"/>
    <w:rsid w:val="78341E50"/>
    <w:rsid w:val="78601031"/>
    <w:rsid w:val="786D5A56"/>
    <w:rsid w:val="789A4411"/>
    <w:rsid w:val="78A05E2C"/>
    <w:rsid w:val="78AA7710"/>
    <w:rsid w:val="78C338C8"/>
    <w:rsid w:val="78C37D6C"/>
    <w:rsid w:val="78CC4D93"/>
    <w:rsid w:val="78CF2423"/>
    <w:rsid w:val="78E656C8"/>
    <w:rsid w:val="78F50371"/>
    <w:rsid w:val="7915226E"/>
    <w:rsid w:val="79164F77"/>
    <w:rsid w:val="791E07A5"/>
    <w:rsid w:val="793B7248"/>
    <w:rsid w:val="794C7AA7"/>
    <w:rsid w:val="79573EC9"/>
    <w:rsid w:val="79661EDA"/>
    <w:rsid w:val="797D6309"/>
    <w:rsid w:val="798821BE"/>
    <w:rsid w:val="79BF49DD"/>
    <w:rsid w:val="79C5088B"/>
    <w:rsid w:val="79ED082F"/>
    <w:rsid w:val="79FB44EA"/>
    <w:rsid w:val="7A0A2B79"/>
    <w:rsid w:val="7A295B91"/>
    <w:rsid w:val="7A2B5BC9"/>
    <w:rsid w:val="7A3E30CC"/>
    <w:rsid w:val="7A541C60"/>
    <w:rsid w:val="7AB462D0"/>
    <w:rsid w:val="7AB570F1"/>
    <w:rsid w:val="7ABA0366"/>
    <w:rsid w:val="7AE5114D"/>
    <w:rsid w:val="7B1017EE"/>
    <w:rsid w:val="7B157F44"/>
    <w:rsid w:val="7B320B62"/>
    <w:rsid w:val="7B3F35AA"/>
    <w:rsid w:val="7B6A40C8"/>
    <w:rsid w:val="7B720479"/>
    <w:rsid w:val="7B802203"/>
    <w:rsid w:val="7B8132A1"/>
    <w:rsid w:val="7B8178B7"/>
    <w:rsid w:val="7C08608C"/>
    <w:rsid w:val="7C0F40C7"/>
    <w:rsid w:val="7C346E76"/>
    <w:rsid w:val="7C3A4A24"/>
    <w:rsid w:val="7C501408"/>
    <w:rsid w:val="7C683105"/>
    <w:rsid w:val="7C6B1295"/>
    <w:rsid w:val="7C982102"/>
    <w:rsid w:val="7CB9586A"/>
    <w:rsid w:val="7CC85951"/>
    <w:rsid w:val="7D1947B6"/>
    <w:rsid w:val="7D3C40A4"/>
    <w:rsid w:val="7D4A49FF"/>
    <w:rsid w:val="7D4A6A89"/>
    <w:rsid w:val="7D7A082F"/>
    <w:rsid w:val="7D8555F0"/>
    <w:rsid w:val="7D894C8E"/>
    <w:rsid w:val="7D8A1FB2"/>
    <w:rsid w:val="7D9E00C5"/>
    <w:rsid w:val="7DC94F37"/>
    <w:rsid w:val="7DCE16B4"/>
    <w:rsid w:val="7DD20E1F"/>
    <w:rsid w:val="7E540C56"/>
    <w:rsid w:val="7E6E2C8F"/>
    <w:rsid w:val="7E6F2BC7"/>
    <w:rsid w:val="7E6F502F"/>
    <w:rsid w:val="7EA30424"/>
    <w:rsid w:val="7EA4036E"/>
    <w:rsid w:val="7F1E43A9"/>
    <w:rsid w:val="7F361298"/>
    <w:rsid w:val="7F394DEA"/>
    <w:rsid w:val="7F3E6B34"/>
    <w:rsid w:val="7F6667DD"/>
    <w:rsid w:val="7F690B2F"/>
    <w:rsid w:val="7F713595"/>
    <w:rsid w:val="7F820A3F"/>
    <w:rsid w:val="7FA77F61"/>
    <w:rsid w:val="7FA8575C"/>
    <w:rsid w:val="7FB33365"/>
    <w:rsid w:val="7FBE5932"/>
    <w:rsid w:val="7FCD52FF"/>
    <w:rsid w:val="7FCE14D1"/>
    <w:rsid w:val="7FD63EC7"/>
    <w:rsid w:val="7FDA4EB2"/>
    <w:rsid w:val="7FFF2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rPr>
      <w:rFonts w:eastAsia="宋体"/>
      <w:sz w:val="24"/>
      <w:szCs w:val="24"/>
    </w:rPr>
  </w:style>
  <w:style w:type="character" w:styleId="6">
    <w:name w:val="Strong"/>
    <w:basedOn w:val="5"/>
    <w:qFormat/>
    <w:uiPriority w:val="0"/>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9577</Words>
  <Characters>11018</Characters>
  <Lines>0</Lines>
  <Paragraphs>0</Paragraphs>
  <TotalTime>10</TotalTime>
  <ScaleCrop>false</ScaleCrop>
  <LinksUpToDate>false</LinksUpToDate>
  <CharactersWithSpaces>13322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2022-01-11T07:31:00Z</dcterms:created>
  <dc:creator>Administrator</dc:creator>
  <cp:lastModifiedBy>安庆  马剑</cp:lastModifiedBy>
  <dcterms:modified xsi:type="dcterms:W3CDTF">2023-04-10T06:04:29Z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53420D2CD59746FBA67E5F3B6DC61821</vt:lpwstr>
  </property>
</Properties>
</file>