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adjustRightInd w:val="0"/>
        <w:snapToGrid w:val="0"/>
        <w:spacing w:line="360" w:lineRule="auto"/>
        <w:jc w:val="center"/>
        <w:rPr>
          <w:rFonts w:ascii="宋体" w:hAnsi="宋体"/>
          <w:b/>
          <w:sz w:val="44"/>
          <w:szCs w:val="44"/>
          <w:u w:val="single"/>
        </w:rPr>
      </w:pPr>
    </w:p>
    <w:p>
      <w:pPr>
        <w:keepNext w:val="0"/>
        <w:keepLines w:val="0"/>
        <w:widowControl w:val="0"/>
        <w:suppressLineNumbers w:val="0"/>
        <w:spacing w:before="0" w:beforeAutospacing="0" w:after="0" w:afterAutospacing="0"/>
        <w:ind w:left="0" w:right="0"/>
        <w:jc w:val="center"/>
        <w:rPr>
          <w:rFonts w:ascii="华文中宋" w:hAnsi="华文中宋" w:eastAsia="华文中宋" w:cs="华文中宋"/>
          <w:b/>
          <w:sz w:val="44"/>
          <w:szCs w:val="44"/>
        </w:rPr>
      </w:pPr>
      <w:r>
        <w:rPr>
          <w:rFonts w:hint="eastAsia" w:ascii="华文中宋" w:hAnsi="华文中宋" w:eastAsia="华文中宋" w:cs="华文中宋"/>
          <w:b/>
          <w:sz w:val="44"/>
          <w:szCs w:val="44"/>
          <w:lang w:eastAsia="zh-CN"/>
        </w:rPr>
        <w:t>中国致公党安庆市委员会2022</w:t>
      </w:r>
      <w:r>
        <w:rPr>
          <w:rFonts w:hint="eastAsia" w:ascii="华文中宋" w:hAnsi="华文中宋" w:eastAsia="华文中宋" w:cs="华文中宋"/>
          <w:b/>
          <w:sz w:val="44"/>
          <w:szCs w:val="44"/>
        </w:rPr>
        <w:t>年部门预算</w:t>
      </w: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44"/>
          <w:szCs w:val="44"/>
          <w:lang w:eastAsia="zh-CN"/>
        </w:rPr>
      </w:pPr>
    </w:p>
    <w:p>
      <w:pPr>
        <w:pStyle w:val="4"/>
        <w:adjustRightInd w:val="0"/>
        <w:snapToGrid w:val="0"/>
        <w:spacing w:before="0" w:beforeAutospacing="0" w:after="0" w:afterAutospacing="0" w:line="360" w:lineRule="auto"/>
        <w:jc w:val="center"/>
        <w:rPr>
          <w:rFonts w:hint="eastAsia" w:ascii="黑体" w:hAnsi="黑体" w:eastAsia="黑体"/>
          <w:bCs/>
          <w:sz w:val="44"/>
          <w:szCs w:val="44"/>
          <w:lang w:eastAsia="zh-CN"/>
        </w:rPr>
      </w:pPr>
    </w:p>
    <w:p>
      <w:pPr>
        <w:pStyle w:val="4"/>
        <w:adjustRightInd w:val="0"/>
        <w:snapToGrid w:val="0"/>
        <w:spacing w:before="0" w:beforeAutospacing="0" w:after="0" w:afterAutospacing="0" w:line="360" w:lineRule="auto"/>
        <w:jc w:val="center"/>
        <w:rPr>
          <w:rFonts w:ascii="黑体" w:hAnsi="黑体" w:eastAsia="黑体"/>
          <w:bCs/>
          <w:sz w:val="44"/>
          <w:szCs w:val="44"/>
        </w:rPr>
      </w:pPr>
      <w:r>
        <w:rPr>
          <w:rFonts w:hint="eastAsia" w:ascii="黑体" w:hAnsi="黑体" w:eastAsia="黑体"/>
          <w:bCs/>
          <w:sz w:val="44"/>
          <w:szCs w:val="44"/>
          <w:lang w:eastAsia="zh-CN"/>
        </w:rPr>
        <w:t>2022</w:t>
      </w:r>
      <w:r>
        <w:rPr>
          <w:rFonts w:hint="eastAsia" w:ascii="黑体" w:hAnsi="黑体" w:eastAsia="黑体"/>
          <w:bCs/>
          <w:sz w:val="44"/>
          <w:szCs w:val="44"/>
        </w:rPr>
        <w:t>年</w:t>
      </w:r>
      <w:r>
        <w:rPr>
          <w:rFonts w:hint="eastAsia" w:ascii="黑体" w:hAnsi="黑体" w:eastAsia="黑体"/>
          <w:bCs/>
          <w:sz w:val="44"/>
          <w:szCs w:val="44"/>
          <w:lang w:val="en-US" w:eastAsia="zh-CN"/>
        </w:rPr>
        <w:t>2</w:t>
      </w:r>
      <w:r>
        <w:rPr>
          <w:rFonts w:hint="eastAsia" w:ascii="黑体" w:hAnsi="黑体" w:eastAsia="黑体"/>
          <w:bCs/>
          <w:sz w:val="44"/>
          <w:szCs w:val="44"/>
        </w:rPr>
        <w:t>月</w:t>
      </w:r>
    </w:p>
    <w:p>
      <w:pPr>
        <w:pStyle w:val="4"/>
        <w:adjustRightInd w:val="0"/>
        <w:snapToGrid w:val="0"/>
        <w:spacing w:before="0" w:beforeAutospacing="0" w:after="0" w:afterAutospacing="0" w:line="360" w:lineRule="auto"/>
        <w:jc w:val="both"/>
        <w:rPr>
          <w:rFonts w:ascii="黑体" w:hAnsi="黑体" w:eastAsia="黑体"/>
          <w:bCs/>
          <w:sz w:val="36"/>
          <w:szCs w:val="36"/>
        </w:rPr>
      </w:pPr>
    </w:p>
    <w:p>
      <w:pPr>
        <w:pStyle w:val="4"/>
        <w:adjustRightInd w:val="0"/>
        <w:snapToGrid w:val="0"/>
        <w:spacing w:before="0" w:beforeAutospacing="0" w:after="0" w:afterAutospacing="0" w:line="500" w:lineRule="exact"/>
        <w:jc w:val="center"/>
        <w:rPr>
          <w:rFonts w:hint="eastAsia" w:ascii="黑体" w:hAnsi="黑体" w:eastAsia="黑体"/>
          <w:bCs/>
          <w:sz w:val="44"/>
          <w:szCs w:val="44"/>
        </w:rPr>
      </w:pPr>
    </w:p>
    <w:p>
      <w:pPr>
        <w:pStyle w:val="4"/>
        <w:adjustRightInd w:val="0"/>
        <w:snapToGrid w:val="0"/>
        <w:spacing w:before="0" w:beforeAutospacing="0" w:after="0" w:afterAutospacing="0" w:line="500" w:lineRule="exact"/>
        <w:jc w:val="both"/>
        <w:rPr>
          <w:rFonts w:hint="eastAsia" w:ascii="黑体" w:hAnsi="黑体" w:eastAsia="黑体"/>
          <w:bCs/>
          <w:sz w:val="44"/>
          <w:szCs w:val="44"/>
        </w:rPr>
      </w:pPr>
    </w:p>
    <w:p>
      <w:pPr>
        <w:pStyle w:val="4"/>
        <w:adjustRightInd w:val="0"/>
        <w:snapToGrid w:val="0"/>
        <w:spacing w:before="0" w:beforeAutospacing="0" w:after="0" w:afterAutospacing="0" w:line="500" w:lineRule="exact"/>
        <w:jc w:val="center"/>
        <w:rPr>
          <w:rFonts w:ascii="黑体" w:hAnsi="黑体" w:eastAsia="黑体"/>
          <w:bCs/>
          <w:sz w:val="44"/>
          <w:szCs w:val="44"/>
        </w:rPr>
      </w:pPr>
      <w:r>
        <w:rPr>
          <w:rFonts w:hint="eastAsia" w:ascii="黑体" w:hAnsi="黑体" w:eastAsia="黑体"/>
          <w:bCs/>
          <w:sz w:val="44"/>
          <w:szCs w:val="44"/>
        </w:rPr>
        <w:t>目 录</w:t>
      </w:r>
    </w:p>
    <w:p>
      <w:pPr>
        <w:pStyle w:val="4"/>
        <w:adjustRightInd w:val="0"/>
        <w:snapToGrid w:val="0"/>
        <w:spacing w:before="0" w:beforeAutospacing="0" w:after="0" w:afterAutospacing="0" w:line="500" w:lineRule="exact"/>
        <w:ind w:firstLine="643" w:firstLineChars="200"/>
        <w:jc w:val="both"/>
        <w:rPr>
          <w:rFonts w:hint="eastAsia" w:ascii="仿宋_GB2312" w:hAnsi="仿宋" w:eastAsia="仿宋_GB2312" w:cs="仿宋"/>
          <w:b/>
          <w:sz w:val="32"/>
          <w:szCs w:val="32"/>
        </w:rPr>
      </w:pPr>
    </w:p>
    <w:p>
      <w:pPr>
        <w:pStyle w:val="4"/>
        <w:adjustRightInd w:val="0"/>
        <w:snapToGrid w:val="0"/>
        <w:spacing w:before="0" w:beforeAutospacing="0" w:after="0" w:afterAutospacing="0" w:line="500" w:lineRule="exact"/>
        <w:ind w:firstLine="643" w:firstLineChars="200"/>
        <w:jc w:val="both"/>
        <w:rPr>
          <w:rFonts w:ascii="仿宋_GB2312" w:hAnsi="仿宋" w:eastAsia="仿宋_GB2312" w:cs="仿宋"/>
          <w:b/>
          <w:sz w:val="32"/>
          <w:szCs w:val="32"/>
        </w:rPr>
      </w:pPr>
      <w:r>
        <w:rPr>
          <w:rFonts w:hint="eastAsia" w:ascii="仿宋_GB2312" w:hAnsi="仿宋" w:eastAsia="仿宋_GB2312" w:cs="仿宋"/>
          <w:b/>
          <w:sz w:val="32"/>
          <w:szCs w:val="32"/>
        </w:rPr>
        <w:t>第一部分 部门概况</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1.主要职责</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2.部门预算构成</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3.</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年度主要工作任务</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 xml:space="preserve">第二部分 </w:t>
      </w:r>
      <w:r>
        <w:rPr>
          <w:rFonts w:hint="eastAsia" w:ascii="仿宋_GB2312" w:hAnsi="仿宋" w:eastAsia="仿宋_GB2312" w:cs="仿宋"/>
          <w:b/>
          <w:sz w:val="32"/>
          <w:szCs w:val="32"/>
          <w:lang w:eastAsia="zh-CN"/>
        </w:rPr>
        <w:t>2022</w:t>
      </w:r>
      <w:r>
        <w:rPr>
          <w:rFonts w:hint="eastAsia" w:ascii="仿宋_GB2312" w:hAnsi="仿宋" w:eastAsia="仿宋_GB2312" w:cs="仿宋"/>
          <w:b/>
          <w:sz w:val="32"/>
          <w:szCs w:val="32"/>
        </w:rPr>
        <w:t>年部门预算表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年收支总表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年收入总表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3.</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年支出总表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年财政拨款收支总表</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5.</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年一般公共预算支出表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年一般公共预算基本支出表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年政府性基金预算支出表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年国有资本经营预算支出表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9.</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年项目支出表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年政府采购支出表</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w:t>
      </w:r>
      <w:r>
        <w:rPr>
          <w:rFonts w:hint="eastAsia" w:ascii="仿宋_GB2312" w:hAnsi="仿宋" w:eastAsia="仿宋_GB2312" w:cs="仿宋"/>
          <w:bCs/>
          <w:sz w:val="32"/>
          <w:szCs w:val="32"/>
          <w:lang w:eastAsia="zh-CN"/>
        </w:rPr>
        <w:t>中国致公党安庆市委员会2022</w:t>
      </w:r>
      <w:r>
        <w:rPr>
          <w:rFonts w:hint="eastAsia" w:ascii="仿宋_GB2312" w:hAnsi="仿宋" w:eastAsia="仿宋_GB2312" w:cs="仿宋"/>
          <w:bCs/>
          <w:sz w:val="32"/>
          <w:szCs w:val="32"/>
        </w:rPr>
        <w:t>年政府购买服务支出表</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 xml:space="preserve">第三部分 </w:t>
      </w:r>
      <w:r>
        <w:rPr>
          <w:rFonts w:hint="eastAsia" w:ascii="仿宋_GB2312" w:hAnsi="仿宋" w:eastAsia="仿宋_GB2312" w:cs="仿宋"/>
          <w:b/>
          <w:sz w:val="32"/>
          <w:szCs w:val="32"/>
          <w:lang w:eastAsia="zh-CN"/>
        </w:rPr>
        <w:t>2022</w:t>
      </w:r>
      <w:r>
        <w:rPr>
          <w:rFonts w:hint="eastAsia" w:ascii="仿宋_GB2312" w:hAnsi="仿宋" w:eastAsia="仿宋_GB2312" w:cs="仿宋"/>
          <w:b/>
          <w:sz w:val="32"/>
          <w:szCs w:val="32"/>
        </w:rPr>
        <w:t>年部门预算情况说明</w:t>
      </w:r>
    </w:p>
    <w:p>
      <w:pPr>
        <w:pStyle w:val="4"/>
        <w:adjustRightInd w:val="0"/>
        <w:snapToGrid w:val="0"/>
        <w:spacing w:before="0" w:beforeAutospacing="0" w:after="0" w:afterAutospacing="0" w:line="500" w:lineRule="exact"/>
        <w:ind w:firstLine="640" w:firstLineChars="200"/>
        <w:outlineLvl w:val="0"/>
        <w:rPr>
          <w:rFonts w:ascii="仿宋_GB2312" w:hAnsi="仿宋" w:eastAsia="仿宋_GB2312" w:cs="仿宋"/>
          <w:bCs/>
          <w:sz w:val="32"/>
          <w:szCs w:val="32"/>
        </w:rPr>
      </w:pPr>
      <w:r>
        <w:rPr>
          <w:rFonts w:hint="eastAsia" w:ascii="仿宋_GB2312" w:hAnsi="仿宋" w:eastAsia="仿宋_GB2312" w:cs="仿宋"/>
          <w:bCs/>
          <w:sz w:val="32"/>
          <w:szCs w:val="32"/>
        </w:rPr>
        <w:t>1.关于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2.关于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年收入总表的说明</w:t>
      </w:r>
    </w:p>
    <w:p>
      <w:pPr>
        <w:adjustRightInd w:val="0"/>
        <w:snapToGrid w:val="0"/>
        <w:spacing w:line="600" w:lineRule="exact"/>
        <w:ind w:firstLine="640" w:firstLineChars="200"/>
        <w:rPr>
          <w:rFonts w:ascii="仿宋_GB2312" w:hAnsi="仿宋" w:eastAsia="仿宋_GB2312" w:cs="仿宋"/>
          <w:bCs/>
          <w:kern w:val="0"/>
          <w:sz w:val="32"/>
          <w:szCs w:val="32"/>
        </w:rPr>
      </w:pPr>
      <w:r>
        <w:rPr>
          <w:rFonts w:hint="eastAsia" w:ascii="仿宋_GB2312" w:hAnsi="仿宋" w:eastAsia="仿宋_GB2312" w:cs="仿宋"/>
          <w:bCs/>
          <w:kern w:val="0"/>
          <w:sz w:val="32"/>
          <w:szCs w:val="32"/>
        </w:rPr>
        <w:t>3.关于</w:t>
      </w:r>
      <w:r>
        <w:rPr>
          <w:rFonts w:hint="eastAsia" w:ascii="仿宋_GB2312" w:hAnsi="仿宋" w:eastAsia="仿宋_GB2312" w:cs="仿宋"/>
          <w:bCs/>
          <w:kern w:val="0"/>
          <w:sz w:val="32"/>
          <w:szCs w:val="32"/>
          <w:lang w:eastAsia="zh-CN"/>
        </w:rPr>
        <w:t>2022</w:t>
      </w:r>
      <w:r>
        <w:rPr>
          <w:rFonts w:hint="eastAsia" w:ascii="仿宋_GB2312" w:hAnsi="仿宋" w:eastAsia="仿宋_GB2312" w:cs="仿宋"/>
          <w:bCs/>
          <w:kern w:val="0"/>
          <w:sz w:val="32"/>
          <w:szCs w:val="32"/>
        </w:rPr>
        <w:t>年支出总表的说明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4.关于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年财政拨款收支总表的说明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5.关于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年一般公共预算支出表的说明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6.关于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年一般公共预算基本支出表的说明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7.关于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年政府性基金预算支出表的说明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8.关于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年国有资本经营预算支出表的说明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9.关于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年项目支出表的说明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10.关于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年政府采购支出表的说明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11.关于</w:t>
      </w:r>
      <w:r>
        <w:rPr>
          <w:rFonts w:hint="eastAsia" w:ascii="仿宋_GB2312" w:hAnsi="仿宋" w:eastAsia="仿宋_GB2312" w:cs="仿宋"/>
          <w:bCs/>
          <w:sz w:val="32"/>
          <w:szCs w:val="32"/>
          <w:lang w:eastAsia="zh-CN"/>
        </w:rPr>
        <w:t>2022</w:t>
      </w:r>
      <w:r>
        <w:rPr>
          <w:rFonts w:hint="eastAsia" w:ascii="仿宋_GB2312" w:hAnsi="仿宋" w:eastAsia="仿宋_GB2312" w:cs="仿宋"/>
          <w:bCs/>
          <w:sz w:val="32"/>
          <w:szCs w:val="32"/>
        </w:rPr>
        <w:t>年政府购买服务支出表的说明</w:t>
      </w:r>
    </w:p>
    <w:p>
      <w:pPr>
        <w:pStyle w:val="4"/>
        <w:adjustRightInd w:val="0"/>
        <w:snapToGrid w:val="0"/>
        <w:spacing w:before="0" w:beforeAutospacing="0" w:after="0" w:afterAutospacing="0" w:line="500" w:lineRule="exact"/>
        <w:ind w:firstLine="640" w:firstLineChars="200"/>
        <w:rPr>
          <w:rFonts w:ascii="仿宋_GB2312" w:hAnsi="仿宋" w:eastAsia="仿宋_GB2312" w:cs="仿宋"/>
          <w:bCs/>
          <w:sz w:val="32"/>
          <w:szCs w:val="32"/>
        </w:rPr>
      </w:pPr>
      <w:r>
        <w:rPr>
          <w:rFonts w:hint="eastAsia" w:ascii="仿宋_GB2312" w:hAnsi="仿宋" w:eastAsia="仿宋_GB2312" w:cs="仿宋"/>
          <w:bCs/>
          <w:sz w:val="32"/>
          <w:szCs w:val="32"/>
        </w:rPr>
        <w:t>12.其他重要事项情况说明</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r>
        <w:rPr>
          <w:rFonts w:hint="eastAsia" w:ascii="仿宋_GB2312" w:hAnsi="仿宋" w:eastAsia="仿宋_GB2312" w:cs="仿宋"/>
          <w:b/>
          <w:sz w:val="32"/>
          <w:szCs w:val="32"/>
        </w:rPr>
        <w:t>第四部分 名词解释</w:t>
      </w: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4"/>
        <w:adjustRightInd w:val="0"/>
        <w:snapToGrid w:val="0"/>
        <w:spacing w:before="0" w:beforeAutospacing="0" w:after="0" w:afterAutospacing="0" w:line="500" w:lineRule="exact"/>
        <w:ind w:firstLine="643" w:firstLineChars="200"/>
        <w:rPr>
          <w:rFonts w:ascii="仿宋_GB2312" w:hAnsi="仿宋" w:eastAsia="仿宋_GB2312" w:cs="仿宋"/>
          <w:b/>
          <w:sz w:val="32"/>
          <w:szCs w:val="32"/>
        </w:rPr>
      </w:pPr>
    </w:p>
    <w:p>
      <w:pPr>
        <w:pStyle w:val="4"/>
        <w:adjustRightInd w:val="0"/>
        <w:snapToGrid w:val="0"/>
        <w:spacing w:before="0" w:beforeAutospacing="0" w:after="0" w:afterAutospacing="0" w:line="500" w:lineRule="exact"/>
        <w:rPr>
          <w:rFonts w:ascii="仿宋_GB2312" w:hAnsi="仿宋" w:eastAsia="仿宋_GB2312" w:cs="仿宋"/>
          <w:b/>
          <w:sz w:val="32"/>
          <w:szCs w:val="32"/>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hint="eastAsia"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r>
        <w:rPr>
          <w:rFonts w:hint="eastAsia" w:ascii="黑体" w:hAnsi="黑体" w:eastAsia="黑体"/>
          <w:bCs/>
          <w:sz w:val="36"/>
          <w:szCs w:val="36"/>
        </w:rPr>
        <w:t>第一部分 部门概况</w:t>
      </w:r>
    </w:p>
    <w:p>
      <w:pPr>
        <w:pStyle w:val="4"/>
        <w:adjustRightInd w:val="0"/>
        <w:snapToGrid w:val="0"/>
        <w:spacing w:before="0" w:beforeAutospacing="0" w:after="0" w:afterAutospacing="0" w:line="360" w:lineRule="auto"/>
        <w:ind w:firstLine="627" w:firstLineChars="196"/>
        <w:jc w:val="both"/>
        <w:rPr>
          <w:rFonts w:hint="eastAsia" w:ascii="黑体" w:hAnsi="黑体" w:eastAsia="黑体"/>
          <w:bCs/>
          <w:sz w:val="32"/>
          <w:szCs w:val="32"/>
        </w:rPr>
      </w:pPr>
      <w:r>
        <w:rPr>
          <w:rFonts w:hint="eastAsia" w:ascii="黑体" w:hAnsi="黑体" w:eastAsia="黑体"/>
          <w:bCs/>
          <w:sz w:val="32"/>
          <w:szCs w:val="32"/>
        </w:rPr>
        <w:t>一、主要职责</w:t>
      </w:r>
    </w:p>
    <w:p>
      <w:pPr>
        <w:widowControl/>
        <w:ind w:firstLine="640" w:firstLineChars="200"/>
        <w:jc w:val="left"/>
        <w:rPr>
          <w:rFonts w:hint="eastAsia" w:ascii="黑体" w:hAnsi="黑体" w:eastAsia="黑体"/>
          <w:bCs/>
          <w:sz w:val="32"/>
          <w:szCs w:val="32"/>
        </w:rPr>
      </w:pPr>
      <w:r>
        <w:rPr>
          <w:rFonts w:hint="eastAsia" w:ascii="仿宋_GB2312" w:hAnsi="仿宋" w:eastAsia="仿宋_GB2312" w:cs="宋体"/>
          <w:kern w:val="0"/>
          <w:sz w:val="32"/>
          <w:szCs w:val="32"/>
          <w:lang w:val="en-US" w:eastAsia="zh-CN" w:bidi="ar-SA"/>
        </w:rPr>
        <w:t>根据《中国致公党章程》和中共安庆市机构编制委员会办公室《关于致公党安庆市委员会机关机构设置和人员编制事项的通知》（庆编办〔2015〕90号）文件规定，中国致公党安庆市委员会的主要职责是：向中共安庆市委、市政府提出重要建议，组织开展参政议政、民主监督、参与政治协商；负责致公党全市各级组织的建立、变更、调整、换届和党员发展、管理；开展党员思想教育和党务宣传；开展对海外组织和华侨、侨眷的联络工作；组织开展社会服务；管理市委会机关人事、行政事务。</w:t>
      </w:r>
    </w:p>
    <w:p>
      <w:pPr>
        <w:pStyle w:val="4"/>
        <w:numPr>
          <w:ilvl w:val="0"/>
          <w:numId w:val="1"/>
        </w:numPr>
        <w:adjustRightInd w:val="0"/>
        <w:snapToGrid w:val="0"/>
        <w:spacing w:before="0" w:beforeAutospacing="0" w:after="0" w:afterAutospacing="0" w:line="360" w:lineRule="auto"/>
        <w:ind w:firstLine="627" w:firstLineChars="196"/>
        <w:jc w:val="both"/>
        <w:rPr>
          <w:rFonts w:hint="eastAsia" w:ascii="黑体" w:hAnsi="黑体" w:eastAsia="黑体"/>
          <w:bCs/>
          <w:sz w:val="32"/>
          <w:szCs w:val="32"/>
        </w:rPr>
      </w:pPr>
      <w:r>
        <w:rPr>
          <w:rFonts w:hint="eastAsia" w:ascii="黑体" w:hAnsi="黑体" w:eastAsia="黑体"/>
          <w:bCs/>
          <w:sz w:val="32"/>
          <w:szCs w:val="32"/>
        </w:rPr>
        <w:t>部门预算构成</w:t>
      </w:r>
    </w:p>
    <w:p>
      <w:pPr>
        <w:pStyle w:val="4"/>
        <w:adjustRightInd w:val="0"/>
        <w:snapToGrid w:val="0"/>
        <w:spacing w:before="0" w:beforeAutospacing="0" w:after="0" w:afterAutospacing="0" w:line="600" w:lineRule="exact"/>
        <w:ind w:firstLine="640" w:firstLineChars="200"/>
        <w:outlineLvl w:val="0"/>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中国致公党安庆委员会2022年度部门预算仅包括中国致公党安庆委员会本级预算，无其他下属单位预算。</w:t>
      </w:r>
    </w:p>
    <w:p>
      <w:pPr>
        <w:pStyle w:val="4"/>
        <w:adjustRightInd w:val="0"/>
        <w:snapToGrid w:val="0"/>
        <w:spacing w:before="0" w:beforeAutospacing="0" w:after="0" w:afterAutospacing="0" w:line="600" w:lineRule="exact"/>
        <w:ind w:firstLine="480" w:firstLineChars="150"/>
        <w:outlineLvl w:val="0"/>
        <w:rPr>
          <w:rFonts w:hint="eastAsia" w:ascii="黑体" w:hAnsi="黑体" w:eastAsia="黑体"/>
          <w:bCs/>
          <w:sz w:val="32"/>
          <w:szCs w:val="32"/>
        </w:rPr>
      </w:pPr>
      <w:r>
        <w:rPr>
          <w:rFonts w:hint="eastAsia" w:ascii="仿宋_GB2312" w:hAnsi="仿宋" w:eastAsia="仿宋_GB2312" w:cs="仿宋"/>
          <w:bCs/>
          <w:sz w:val="32"/>
          <w:szCs w:val="32"/>
          <w:lang w:val="en-US" w:eastAsia="zh-CN"/>
        </w:rPr>
        <w:t xml:space="preserve"> </w:t>
      </w:r>
      <w:r>
        <w:rPr>
          <w:rFonts w:hint="eastAsia" w:ascii="黑体" w:hAnsi="黑体" w:eastAsia="黑体"/>
          <w:bCs/>
          <w:sz w:val="32"/>
          <w:szCs w:val="32"/>
        </w:rPr>
        <w:t>三、</w:t>
      </w:r>
      <w:r>
        <w:rPr>
          <w:rFonts w:hint="eastAsia" w:ascii="黑体" w:hAnsi="黑体" w:eastAsia="黑体"/>
          <w:bCs/>
          <w:sz w:val="32"/>
          <w:szCs w:val="32"/>
          <w:lang w:eastAsia="zh-CN"/>
        </w:rPr>
        <w:t>2022</w:t>
      </w:r>
      <w:r>
        <w:rPr>
          <w:rFonts w:hint="eastAsia" w:ascii="黑体" w:hAnsi="黑体" w:eastAsia="黑体"/>
          <w:bCs/>
          <w:sz w:val="32"/>
          <w:szCs w:val="32"/>
        </w:rPr>
        <w:t>年度主要工作任务</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rPr>
      </w:pPr>
      <w:r>
        <w:rPr>
          <w:rFonts w:hint="eastAsia" w:ascii="仿宋_GB2312" w:hAnsi="仿宋" w:eastAsia="仿宋_GB2312" w:cs="仿宋"/>
          <w:bCs/>
          <w:sz w:val="32"/>
          <w:szCs w:val="32"/>
          <w:lang w:val="en-US" w:eastAsia="zh-CN"/>
        </w:rPr>
        <w:t>（一）思想政治教育。以习近平新时代中国特色社会主义思想为指引、深入学习宣传贯彻中共十九大、十九届历次全会、中共二十大、习近平总书记系列重要讲话精神等，全面开展“发扬优良传统，争取更大贡献”主题教育活动，以实际行动践行“为和谐添彩、为致公增光、为发展助力”。常态化组织党员开展中共党史学习教育；一体推进“四史”、统一战线史、多党合作史和致公党史学习；巩固深化“不忘合作初心，继续携手前进”主题教育。</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 xml:space="preserve">（二）组织工作。以建设适应新时代发展要求的高素质 中国特色社会主义参政党组织为目标，继续做好党员发展、 组织建设工作和市委会机关编制、人事工作。贯彻“人才兴党”理念，吸收高素质高层次人才加入本党；举办致公党安庆市委会成立10周年系列活动；切实做好基层组织建设相关工作；加强党员管理，健全党员管理数据库；积极参与省委会组织召开的党内监督工作培训班、组织工作培训、新党员培训等工作。 </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三）参政议政。聚焦十四五规划目标任务，组织党员坚持围绕中心，服务大局，在“两会”工作中积极履职；深入参与中共市委、市政府开展政党协商工作；参与市政协、市委统战部确定的重点课题；积极配合省委会确定的重点课题，深入开展调研，积极建言献策，为新阶段现代化美好安庆建设献智出力。</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四）对外联络。围绕海外华侨、留学人员及港澳台代表性人士关心关切的问题开展专题调研。深化与安庆欧美同学会(安庆留学人员联谊会)的交流联谊，促进我市扩大对外开放，拓展对外联络工作渠道；加强与港澳台同胞的交流交往，为推动祖国完全统一贡献力量。</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五）社会服务。围绕巩固拓展脱贫攻坚成果同乡村振兴有效衔接开展专项调研，不断提升社会服务能力和水平；针对潜山槎水村需求，指导该村开展相关村庄规划设计、与主管部门项目对接、支持服务群众医疗卫生需求等方面帮扶，助力槎水村乡村振兴开好局、起好步；按照省委会实施“同心示范工程”提质升级部署要求，助力金寨县前畈村开展乡村振兴工作。</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600" w:lineRule="exact"/>
        <w:ind w:firstLine="640" w:firstLineChars="200"/>
        <w:textAlignment w:val="auto"/>
        <w:outlineLvl w:val="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六）民主监督。根据中共安庆市委、市政府工作部署，开展对太湖县长江生态环境保护民主监督工作；积极配合致公党中央对安庆市开展长江生态环境保护民主监督工作。协调市、县相关职能部门通过民主监督发现问题、研究问题、解决问题，将“共抓大保护、不搞大开发”战略落到实处。</w:t>
      </w: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keepNext w:val="0"/>
        <w:keepLines w:val="0"/>
        <w:widowControl w:val="0"/>
        <w:suppressLineNumbers w:val="0"/>
        <w:spacing w:before="0" w:beforeAutospacing="0" w:after="0" w:afterAutospacing="0" w:line="580" w:lineRule="exact"/>
        <w:ind w:left="0" w:right="0" w:firstLine="720" w:firstLineChars="200"/>
        <w:jc w:val="both"/>
        <w:rPr>
          <w:rFonts w:ascii="黑体" w:hAnsi="黑体" w:eastAsia="黑体"/>
          <w:bCs/>
          <w:sz w:val="36"/>
          <w:szCs w:val="36"/>
        </w:rPr>
      </w:pPr>
    </w:p>
    <w:p>
      <w:pPr>
        <w:pStyle w:val="4"/>
        <w:adjustRightInd w:val="0"/>
        <w:snapToGrid w:val="0"/>
        <w:spacing w:before="0" w:beforeAutospacing="0" w:after="0" w:afterAutospacing="0" w:line="360" w:lineRule="auto"/>
        <w:rPr>
          <w:rFonts w:ascii="黑体" w:hAnsi="黑体" w:eastAsia="黑体"/>
          <w:bCs/>
          <w:sz w:val="36"/>
          <w:szCs w:val="36"/>
        </w:rPr>
      </w:pPr>
    </w:p>
    <w:p>
      <w:pPr>
        <w:pStyle w:val="4"/>
        <w:adjustRightInd w:val="0"/>
        <w:snapToGrid w:val="0"/>
        <w:spacing w:before="0" w:beforeAutospacing="0" w:after="0" w:afterAutospacing="0" w:line="360" w:lineRule="auto"/>
        <w:jc w:val="center"/>
        <w:rPr>
          <w:rFonts w:ascii="黑体" w:hAnsi="黑体" w:eastAsia="黑体"/>
          <w:bCs/>
          <w:sz w:val="36"/>
          <w:szCs w:val="36"/>
        </w:rPr>
      </w:pPr>
      <w:r>
        <w:rPr>
          <w:rFonts w:hint="eastAsia" w:ascii="黑体" w:hAnsi="黑体" w:eastAsia="黑体"/>
          <w:bCs/>
          <w:sz w:val="36"/>
          <w:szCs w:val="36"/>
        </w:rPr>
        <w:t xml:space="preserve">第二部分 </w:t>
      </w:r>
      <w:r>
        <w:rPr>
          <w:rFonts w:hint="eastAsia" w:ascii="黑体" w:hAnsi="黑体" w:eastAsia="黑体"/>
          <w:bCs/>
          <w:sz w:val="36"/>
          <w:szCs w:val="36"/>
          <w:lang w:eastAsia="zh-CN"/>
        </w:rPr>
        <w:t>2022</w:t>
      </w:r>
      <w:r>
        <w:rPr>
          <w:rFonts w:hint="eastAsia" w:ascii="黑体" w:hAnsi="黑体" w:eastAsia="黑体"/>
          <w:bCs/>
          <w:sz w:val="36"/>
          <w:szCs w:val="36"/>
        </w:rPr>
        <w:t>年部门预算表</w:t>
      </w:r>
    </w:p>
    <w:p>
      <w:pPr>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部门公开表1</w:t>
      </w:r>
    </w:p>
    <w:p>
      <w:pPr>
        <w:jc w:val="cente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lang w:eastAsia="zh-CN"/>
        </w:rPr>
        <w:t>中国致公党安庆委员会2022</w:t>
      </w:r>
      <w:r>
        <w:rPr>
          <w:rFonts w:hint="eastAsia" w:ascii="华文中宋" w:hAnsi="华文中宋" w:eastAsia="华文中宋" w:cs="宋体"/>
          <w:b/>
          <w:bCs/>
          <w:kern w:val="0"/>
          <w:sz w:val="32"/>
          <w:szCs w:val="32"/>
        </w:rPr>
        <w:t>年收支总表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460" w:type="dxa"/>
        <w:tblInd w:w="93" w:type="dxa"/>
        <w:tblLayout w:type="fixed"/>
        <w:tblCellMar>
          <w:top w:w="0" w:type="dxa"/>
          <w:left w:w="108" w:type="dxa"/>
          <w:bottom w:w="0" w:type="dxa"/>
          <w:right w:w="108" w:type="dxa"/>
        </w:tblCellMar>
      </w:tblPr>
      <w:tblGrid>
        <w:gridCol w:w="3422"/>
        <w:gridCol w:w="998"/>
        <w:gridCol w:w="3184"/>
        <w:gridCol w:w="856"/>
      </w:tblGrid>
      <w:tr>
        <w:tblPrEx>
          <w:tblCellMar>
            <w:top w:w="0" w:type="dxa"/>
            <w:left w:w="108" w:type="dxa"/>
            <w:bottom w:w="0" w:type="dxa"/>
            <w:right w:w="108" w:type="dxa"/>
          </w:tblCellMar>
        </w:tblPrEx>
        <w:trPr>
          <w:trHeight w:val="240" w:hRule="atLeast"/>
        </w:trPr>
        <w:tc>
          <w:tcPr>
            <w:tcW w:w="44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 xml:space="preserve">          收            入             </w:t>
            </w:r>
          </w:p>
        </w:tc>
        <w:tc>
          <w:tcPr>
            <w:tcW w:w="404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支          出</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收 入 项 目</w:t>
            </w:r>
          </w:p>
        </w:tc>
        <w:tc>
          <w:tcPr>
            <w:tcW w:w="998" w:type="dxa"/>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预算数</w:t>
            </w: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支出功能分类科目</w:t>
            </w:r>
          </w:p>
        </w:tc>
        <w:tc>
          <w:tcPr>
            <w:tcW w:w="856" w:type="dxa"/>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kern w:val="0"/>
                <w:sz w:val="20"/>
                <w:szCs w:val="20"/>
              </w:rPr>
            </w:pPr>
            <w:r>
              <w:rPr>
                <w:rFonts w:hint="eastAsia" w:ascii="宋体" w:hAnsi="宋体" w:eastAsia="宋体" w:cs="宋体"/>
                <w:b/>
                <w:kern w:val="0"/>
                <w:sz w:val="20"/>
                <w:szCs w:val="20"/>
              </w:rPr>
              <w:t>预算数</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一、一般公共预算拨款收入</w:t>
            </w:r>
          </w:p>
        </w:tc>
        <w:tc>
          <w:tcPr>
            <w:tcW w:w="99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50.23 </w:t>
            </w: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一、一般公共服务支出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42.90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二、政府性基金预算拨款收入</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二、外交支出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color w:val="000000"/>
                <w:kern w:val="0"/>
                <w:sz w:val="18"/>
                <w:szCs w:val="18"/>
              </w:rPr>
              <w:t>三、国有资本经营预算拨款收入</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三、国防支出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四、财政专户管理资金收入</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四、公共安全支出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kern w:val="0"/>
                <w:sz w:val="20"/>
                <w:szCs w:val="20"/>
              </w:rPr>
            </w:pPr>
            <w:r>
              <w:rPr>
                <w:rFonts w:hint="eastAsia" w:ascii="宋体" w:hAnsi="宋体" w:eastAsia="宋体" w:cs="宋体"/>
                <w:kern w:val="0"/>
                <w:sz w:val="20"/>
                <w:szCs w:val="20"/>
              </w:rPr>
              <w:t>五、单位资金收入</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五、教育支出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其中：事业收入</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六、科学技术支出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color w:val="000000"/>
                <w:kern w:val="0"/>
                <w:sz w:val="18"/>
                <w:szCs w:val="18"/>
              </w:rPr>
            </w:pPr>
            <w:r>
              <w:rPr>
                <w:rFonts w:hint="eastAsia" w:ascii="宋体" w:hAnsi="宋体" w:eastAsia="宋体" w:cs="宋体"/>
                <w:kern w:val="0"/>
                <w:sz w:val="20"/>
                <w:szCs w:val="20"/>
              </w:rPr>
              <w:t xml:space="preserve">              事业单位经营收入</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七、文化旅游体育与传媒支出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上级补助收入</w:t>
            </w:r>
          </w:p>
        </w:tc>
        <w:tc>
          <w:tcPr>
            <w:tcW w:w="998" w:type="dxa"/>
            <w:tcBorders>
              <w:top w:val="nil"/>
              <w:left w:val="single" w:color="auto" w:sz="4" w:space="0"/>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八、社会保障和就业支出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3.19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附属单位上缴收入</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九、卫生健康支出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1.34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leftChars="0" w:right="0" w:rightChars="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其他收入</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十、节能环保支出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十一、城乡社区支出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十二、农林水支出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十三、交通运输支出</w:t>
            </w:r>
          </w:p>
        </w:tc>
        <w:tc>
          <w:tcPr>
            <w:tcW w:w="856" w:type="dxa"/>
            <w:tcBorders>
              <w:top w:val="single" w:color="auto" w:sz="4" w:space="0"/>
              <w:left w:val="single" w:color="auto" w:sz="4" w:space="0"/>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十四、资源勘探工业信息等支出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十五、商业服务业等支出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十六、金融支出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十七、援助其他地区支出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十八、自然资源海洋气象等支出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十九、住房保障支出</w:t>
            </w:r>
          </w:p>
        </w:tc>
        <w:tc>
          <w:tcPr>
            <w:tcW w:w="856"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2.79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二十、粮油物资储备支出</w:t>
            </w:r>
          </w:p>
        </w:tc>
        <w:tc>
          <w:tcPr>
            <w:tcW w:w="856"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二十一、灾害防治及应急管理支出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二十二、预备费</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二十三、其他支出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18"/>
                <w:szCs w:val="18"/>
              </w:rPr>
            </w:pPr>
            <w:r>
              <w:rPr>
                <w:rFonts w:hint="eastAsia" w:ascii="宋体" w:hAnsi="宋体" w:eastAsia="宋体" w:cs="宋体"/>
                <w:kern w:val="0"/>
                <w:sz w:val="18"/>
                <w:szCs w:val="18"/>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二十四、转移性支出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二十五、债务还本支出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二十六、债务付息支出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w:t>
            </w:r>
          </w:p>
        </w:tc>
        <w:tc>
          <w:tcPr>
            <w:tcW w:w="998"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二十七、债务发行费用支出</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本  年  收  入  小  计</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50.23 </w:t>
            </w: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kern w:val="0"/>
                <w:sz w:val="20"/>
                <w:szCs w:val="20"/>
              </w:rPr>
            </w:pPr>
            <w:r>
              <w:rPr>
                <w:rFonts w:hint="eastAsia" w:ascii="宋体" w:hAnsi="宋体" w:eastAsia="宋体" w:cs="宋体"/>
                <w:kern w:val="0"/>
                <w:sz w:val="20"/>
                <w:szCs w:val="20"/>
              </w:rPr>
              <w:t>本  年  支  出  小  计</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0"/>
                <w:szCs w:val="20"/>
              </w:rPr>
            </w:pPr>
            <w:r>
              <w:rPr>
                <w:rFonts w:hint="eastAsia" w:ascii="宋体" w:hAnsi="宋体" w:eastAsia="宋体" w:cs="宋体"/>
                <w:i w:val="0"/>
                <w:iCs w:val="0"/>
                <w:color w:val="000000"/>
                <w:kern w:val="0"/>
                <w:sz w:val="20"/>
                <w:szCs w:val="20"/>
                <w:u w:val="none"/>
                <w:lang w:val="en-US" w:eastAsia="zh-CN" w:bidi="ar"/>
              </w:rPr>
              <w:t xml:space="preserve">50.23 </w:t>
            </w: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上年结转结余</w:t>
            </w:r>
          </w:p>
        </w:tc>
        <w:tc>
          <w:tcPr>
            <w:tcW w:w="998"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结转</w:t>
            </w:r>
            <w:r>
              <w:rPr>
                <w:rFonts w:hint="eastAsia" w:ascii="宋体" w:hAnsi="宋体" w:eastAsia="宋体" w:cs="宋体"/>
                <w:kern w:val="0"/>
                <w:sz w:val="20"/>
                <w:szCs w:val="20"/>
                <w:lang w:eastAsia="zh-CN"/>
              </w:rPr>
              <w:t>下年</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一般公共预算</w:t>
            </w:r>
          </w:p>
        </w:tc>
        <w:tc>
          <w:tcPr>
            <w:tcW w:w="998"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一般公共预算</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政府性基金预算</w:t>
            </w:r>
          </w:p>
        </w:tc>
        <w:tc>
          <w:tcPr>
            <w:tcW w:w="998"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政府性基金预算</w:t>
            </w:r>
          </w:p>
        </w:tc>
        <w:tc>
          <w:tcPr>
            <w:tcW w:w="856"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国有资本经营预算</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18"/>
                <w:szCs w:val="18"/>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国有资本经营预算</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财政专户管理资金</w:t>
            </w:r>
          </w:p>
        </w:tc>
        <w:tc>
          <w:tcPr>
            <w:tcW w:w="998"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18"/>
                <w:szCs w:val="18"/>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财政专户管理资金</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单位资金</w:t>
            </w:r>
          </w:p>
        </w:tc>
        <w:tc>
          <w:tcPr>
            <w:tcW w:w="998" w:type="dxa"/>
            <w:tcBorders>
              <w:top w:val="nil"/>
              <w:left w:val="nil"/>
              <w:bottom w:val="single" w:color="auto" w:sz="4" w:space="0"/>
              <w:right w:val="single" w:color="auto" w:sz="4" w:space="0"/>
            </w:tcBorders>
            <w:shd w:val="clear" w:color="auto" w:fill="auto"/>
            <w:vAlign w:val="bottom"/>
          </w:tcPr>
          <w:p>
            <w:pPr>
              <w:keepNext w:val="0"/>
              <w:keepLines w:val="0"/>
              <w:suppressLineNumbers w:val="0"/>
              <w:spacing w:before="0" w:beforeAutospacing="0" w:after="0" w:afterAutospacing="0"/>
              <w:ind w:left="0" w:right="0"/>
              <w:rPr>
                <w:rFonts w:hint="default" w:ascii="宋体" w:hAnsi="宋体" w:eastAsia="宋体" w:cs="宋体"/>
                <w:kern w:val="0"/>
                <w:sz w:val="18"/>
                <w:szCs w:val="18"/>
              </w:rPr>
            </w:pP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 xml:space="preserve">    单位资金</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0"/>
                <w:szCs w:val="20"/>
              </w:rPr>
            </w:pPr>
          </w:p>
        </w:tc>
      </w:tr>
      <w:tr>
        <w:tblPrEx>
          <w:tblCellMar>
            <w:top w:w="0" w:type="dxa"/>
            <w:left w:w="108" w:type="dxa"/>
            <w:bottom w:w="0" w:type="dxa"/>
            <w:right w:w="108" w:type="dxa"/>
          </w:tblCellMar>
        </w:tblPrEx>
        <w:trPr>
          <w:trHeight w:val="240" w:hRule="atLeast"/>
        </w:trPr>
        <w:tc>
          <w:tcPr>
            <w:tcW w:w="342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0"/>
                <w:szCs w:val="20"/>
              </w:rPr>
            </w:pPr>
            <w:r>
              <w:rPr>
                <w:rFonts w:hint="eastAsia" w:ascii="宋体" w:hAnsi="宋体" w:eastAsia="宋体" w:cs="宋体"/>
                <w:b/>
                <w:bCs/>
                <w:kern w:val="0"/>
                <w:sz w:val="20"/>
                <w:szCs w:val="20"/>
              </w:rPr>
              <w:t>收   入   总   计</w:t>
            </w:r>
          </w:p>
        </w:tc>
        <w:tc>
          <w:tcPr>
            <w:tcW w:w="99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kern w:val="0"/>
                <w:sz w:val="18"/>
                <w:szCs w:val="18"/>
              </w:rPr>
            </w:pPr>
            <w:r>
              <w:rPr>
                <w:rFonts w:hint="eastAsia" w:ascii="宋体" w:hAnsi="宋体" w:eastAsia="宋体" w:cs="宋体"/>
                <w:b/>
                <w:bCs/>
                <w:i w:val="0"/>
                <w:iCs w:val="0"/>
                <w:color w:val="000000"/>
                <w:kern w:val="0"/>
                <w:sz w:val="20"/>
                <w:szCs w:val="20"/>
                <w:u w:val="none"/>
                <w:lang w:val="en-US" w:eastAsia="zh-CN" w:bidi="ar"/>
              </w:rPr>
              <w:t xml:space="preserve">50.23 </w:t>
            </w:r>
          </w:p>
        </w:tc>
        <w:tc>
          <w:tcPr>
            <w:tcW w:w="318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0"/>
                <w:szCs w:val="20"/>
              </w:rPr>
            </w:pPr>
            <w:r>
              <w:rPr>
                <w:rFonts w:hint="eastAsia" w:ascii="宋体" w:hAnsi="宋体" w:eastAsia="宋体" w:cs="宋体"/>
                <w:b/>
                <w:bCs/>
                <w:kern w:val="0"/>
                <w:sz w:val="20"/>
                <w:szCs w:val="20"/>
              </w:rPr>
              <w:t>支　出  总　计</w:t>
            </w:r>
          </w:p>
        </w:tc>
        <w:tc>
          <w:tcPr>
            <w:tcW w:w="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kern w:val="0"/>
                <w:sz w:val="20"/>
                <w:szCs w:val="20"/>
              </w:rPr>
            </w:pPr>
            <w:r>
              <w:rPr>
                <w:rFonts w:hint="eastAsia" w:ascii="宋体" w:hAnsi="宋体" w:eastAsia="宋体" w:cs="宋体"/>
                <w:b/>
                <w:bCs/>
                <w:i w:val="0"/>
                <w:iCs w:val="0"/>
                <w:color w:val="000000"/>
                <w:kern w:val="0"/>
                <w:sz w:val="20"/>
                <w:szCs w:val="20"/>
                <w:u w:val="none"/>
                <w:lang w:val="en-US" w:eastAsia="zh-CN" w:bidi="ar"/>
              </w:rPr>
              <w:t xml:space="preserve">50.23 </w:t>
            </w:r>
          </w:p>
        </w:tc>
      </w:tr>
    </w:tbl>
    <w:p>
      <w:pPr>
        <w:rPr>
          <w:rFonts w:ascii="宋体" w:hAnsi="宋体" w:cs="宋体"/>
          <w:kern w:val="0"/>
          <w:sz w:val="20"/>
          <w:szCs w:val="20"/>
        </w:rPr>
        <w:sectPr>
          <w:footerReference r:id="rId3" w:type="default"/>
          <w:pgSz w:w="11906" w:h="16838"/>
          <w:pgMar w:top="1440" w:right="1800" w:bottom="1440" w:left="1800" w:header="851" w:footer="992" w:gutter="0"/>
          <w:cols w:space="425" w:num="1"/>
          <w:docGrid w:type="lines" w:linePitch="312" w:charSpace="0"/>
        </w:sectPr>
      </w:pPr>
    </w:p>
    <w:p>
      <w:pPr>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部门公开表2</w:t>
      </w:r>
    </w:p>
    <w:p>
      <w:pPr>
        <w:jc w:val="cente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lang w:eastAsia="zh-CN"/>
        </w:rPr>
        <w:t>中国致公党安庆市委员会2022</w:t>
      </w:r>
      <w:r>
        <w:rPr>
          <w:rFonts w:hint="eastAsia" w:ascii="华文中宋" w:hAnsi="华文中宋" w:eastAsia="华文中宋" w:cs="宋体"/>
          <w:b/>
          <w:bCs/>
          <w:kern w:val="0"/>
          <w:sz w:val="32"/>
          <w:szCs w:val="32"/>
        </w:rPr>
        <w:t>年收入总表</w:t>
      </w:r>
    </w:p>
    <w:p>
      <w:pPr>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0" w:type="auto"/>
        <w:tblInd w:w="100" w:type="dxa"/>
        <w:tblLayout w:type="autofit"/>
        <w:tblCellMar>
          <w:top w:w="0" w:type="dxa"/>
          <w:left w:w="108" w:type="dxa"/>
          <w:bottom w:w="0" w:type="dxa"/>
          <w:right w:w="108" w:type="dxa"/>
        </w:tblCellMar>
      </w:tblPr>
      <w:tblGrid>
        <w:gridCol w:w="982"/>
        <w:gridCol w:w="716"/>
        <w:gridCol w:w="716"/>
        <w:gridCol w:w="914"/>
        <w:gridCol w:w="757"/>
        <w:gridCol w:w="815"/>
        <w:gridCol w:w="815"/>
        <w:gridCol w:w="474"/>
        <w:gridCol w:w="730"/>
        <w:gridCol w:w="815"/>
        <w:gridCol w:w="701"/>
        <w:gridCol w:w="815"/>
        <w:gridCol w:w="673"/>
        <w:gridCol w:w="474"/>
        <w:gridCol w:w="701"/>
        <w:gridCol w:w="758"/>
        <w:gridCol w:w="815"/>
        <w:gridCol w:w="815"/>
        <w:gridCol w:w="588"/>
      </w:tblGrid>
      <w:tr>
        <w:tblPrEx>
          <w:tblCellMar>
            <w:top w:w="0" w:type="dxa"/>
            <w:left w:w="108" w:type="dxa"/>
            <w:bottom w:w="0" w:type="dxa"/>
            <w:right w:w="108" w:type="dxa"/>
          </w:tblCellMar>
        </w:tblPrEx>
        <w:trPr>
          <w:trHeight w:val="459"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部门名称</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合计</w:t>
            </w:r>
          </w:p>
        </w:tc>
        <w:tc>
          <w:tcPr>
            <w:tcW w:w="0" w:type="auto"/>
            <w:gridSpan w:val="11"/>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本年收入</w:t>
            </w:r>
          </w:p>
        </w:tc>
        <w:tc>
          <w:tcPr>
            <w:tcW w:w="0" w:type="auto"/>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上年结转结余</w:t>
            </w:r>
          </w:p>
        </w:tc>
      </w:tr>
      <w:tr>
        <w:tblPrEx>
          <w:tblCellMar>
            <w:top w:w="0" w:type="dxa"/>
            <w:left w:w="108" w:type="dxa"/>
            <w:bottom w:w="0" w:type="dxa"/>
            <w:right w:w="108" w:type="dxa"/>
          </w:tblCellMar>
        </w:tblPrEx>
        <w:trPr>
          <w:trHeight w:val="45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color w:val="000000"/>
                <w:kern w:val="0"/>
                <w:sz w:val="20"/>
                <w:szCs w:val="20"/>
              </w:rPr>
            </w:pP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小计</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一般公共预算</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政府性基金预算</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国有资本经营预算</w:t>
            </w:r>
          </w:p>
        </w:tc>
        <w:tc>
          <w:tcPr>
            <w:tcW w:w="0" w:type="auto"/>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财政专户管理资金</w:t>
            </w:r>
          </w:p>
        </w:tc>
        <w:tc>
          <w:tcPr>
            <w:tcW w:w="0" w:type="auto"/>
            <w:gridSpan w:val="6"/>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单位资金</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小计</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一般公共预算</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政府性基金预算</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国有资本经营预算</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财政专户管理资金</w:t>
            </w:r>
          </w:p>
        </w:tc>
        <w:tc>
          <w:tcPr>
            <w:tcW w:w="0" w:type="auto"/>
            <w:vMerge w:val="restart"/>
            <w:tcBorders>
              <w:top w:val="nil"/>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单位资金</w:t>
            </w:r>
          </w:p>
        </w:tc>
      </w:tr>
      <w:tr>
        <w:tblPrEx>
          <w:tblCellMar>
            <w:top w:w="0" w:type="dxa"/>
            <w:left w:w="108" w:type="dxa"/>
            <w:bottom w:w="0" w:type="dxa"/>
            <w:right w:w="108" w:type="dxa"/>
          </w:tblCellMar>
        </w:tblPrEx>
        <w:trPr>
          <w:trHeight w:val="134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小计</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事业     收入</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事业单位经营收入</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上级补助收入</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附属单位上缴收入</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color w:val="000000"/>
                <w:kern w:val="0"/>
                <w:sz w:val="20"/>
                <w:szCs w:val="20"/>
              </w:rPr>
            </w:pPr>
            <w:r>
              <w:rPr>
                <w:rFonts w:hint="eastAsia" w:ascii="宋体" w:hAnsi="宋体" w:eastAsia="宋体" w:cs="宋体"/>
                <w:b/>
                <w:color w:val="000000"/>
                <w:kern w:val="0"/>
                <w:sz w:val="20"/>
                <w:szCs w:val="20"/>
              </w:rPr>
              <w:t>其他   收入</w:t>
            </w: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vMerge w:val="continue"/>
            <w:tcBorders>
              <w:top w:val="nil"/>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r>
      <w:tr>
        <w:tblPrEx>
          <w:tblCellMar>
            <w:top w:w="0" w:type="dxa"/>
            <w:left w:w="108" w:type="dxa"/>
            <w:bottom w:w="0" w:type="dxa"/>
            <w:right w:w="108" w:type="dxa"/>
          </w:tblCellMar>
        </w:tblPrEx>
        <w:trPr>
          <w:trHeight w:val="1344"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eastAsia="zh-CN"/>
              </w:rPr>
              <w:t>中国致公党安庆市委员会</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95"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406"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bl>
    <w:p>
      <w:pPr>
        <w:sectPr>
          <w:pgSz w:w="16838" w:h="11906" w:orient="landscape"/>
          <w:pgMar w:top="1797" w:right="1440" w:bottom="1797" w:left="1440" w:header="851" w:footer="992" w:gutter="0"/>
          <w:cols w:space="425" w:num="1"/>
          <w:docGrid w:type="linesAndChars" w:linePitch="312" w:charSpace="0"/>
        </w:sectPr>
      </w:pPr>
    </w:p>
    <w:p>
      <w:pPr>
        <w:rPr>
          <w:rFonts w:ascii="宋体" w:hAnsi="宋体" w:cs="宋体"/>
          <w:kern w:val="0"/>
          <w:sz w:val="20"/>
          <w:szCs w:val="20"/>
        </w:rPr>
      </w:pP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部门公开表3</w:t>
      </w:r>
    </w:p>
    <w:p>
      <w:pPr>
        <w:rPr>
          <w:rFonts w:ascii="华文中宋" w:hAnsi="华文中宋" w:eastAsia="华文中宋" w:cs="宋体"/>
          <w:b/>
          <w:bCs/>
          <w:kern w:val="0"/>
          <w:sz w:val="32"/>
          <w:szCs w:val="32"/>
        </w:rPr>
      </w:pPr>
      <w:r>
        <w:rPr>
          <w:rFonts w:hint="eastAsia" w:ascii="华文中宋" w:hAnsi="华文中宋" w:eastAsia="华文中宋" w:cs="宋体"/>
          <w:b/>
          <w:bCs/>
          <w:kern w:val="0"/>
          <w:sz w:val="32"/>
          <w:szCs w:val="32"/>
        </w:rPr>
        <w:t xml:space="preserve">      </w:t>
      </w:r>
      <w:r>
        <w:rPr>
          <w:rFonts w:hint="eastAsia" w:ascii="华文中宋" w:hAnsi="华文中宋" w:eastAsia="华文中宋" w:cs="宋体"/>
          <w:b/>
          <w:bCs/>
          <w:kern w:val="0"/>
          <w:sz w:val="32"/>
          <w:szCs w:val="32"/>
          <w:lang w:eastAsia="zh-CN"/>
        </w:rPr>
        <w:t>中国致公党安庆市委员会2022</w:t>
      </w:r>
      <w:r>
        <w:rPr>
          <w:rFonts w:hint="eastAsia" w:ascii="华文中宋" w:hAnsi="华文中宋" w:eastAsia="华文中宋" w:cs="宋体"/>
          <w:b/>
          <w:bCs/>
          <w:kern w:val="0"/>
          <w:sz w:val="32"/>
          <w:szCs w:val="32"/>
        </w:rPr>
        <w:t>年支出总表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16" w:type="dxa"/>
        <w:tblInd w:w="-34" w:type="dxa"/>
        <w:tblLayout w:type="fixed"/>
        <w:tblCellMar>
          <w:top w:w="0" w:type="dxa"/>
          <w:left w:w="108" w:type="dxa"/>
          <w:bottom w:w="0" w:type="dxa"/>
          <w:right w:w="108" w:type="dxa"/>
        </w:tblCellMar>
      </w:tblPr>
      <w:tblGrid>
        <w:gridCol w:w="1257"/>
        <w:gridCol w:w="1823"/>
        <w:gridCol w:w="979"/>
        <w:gridCol w:w="840"/>
        <w:gridCol w:w="839"/>
        <w:gridCol w:w="1119"/>
        <w:gridCol w:w="980"/>
        <w:gridCol w:w="979"/>
      </w:tblGrid>
      <w:tr>
        <w:tblPrEx>
          <w:tblCellMar>
            <w:top w:w="0" w:type="dxa"/>
            <w:left w:w="108" w:type="dxa"/>
            <w:bottom w:w="0" w:type="dxa"/>
            <w:right w:w="108" w:type="dxa"/>
          </w:tblCellMar>
        </w:tblPrEx>
        <w:trPr>
          <w:trHeight w:val="1084" w:hRule="atLeast"/>
        </w:trPr>
        <w:tc>
          <w:tcPr>
            <w:tcW w:w="12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1823"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97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84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基本支出</w:t>
            </w:r>
          </w:p>
        </w:tc>
        <w:tc>
          <w:tcPr>
            <w:tcW w:w="83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项目支出</w:t>
            </w:r>
          </w:p>
        </w:tc>
        <w:tc>
          <w:tcPr>
            <w:tcW w:w="111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事业单位经营支出</w:t>
            </w:r>
          </w:p>
        </w:tc>
        <w:tc>
          <w:tcPr>
            <w:tcW w:w="9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上缴上级支出</w:t>
            </w:r>
          </w:p>
        </w:tc>
        <w:tc>
          <w:tcPr>
            <w:tcW w:w="979"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对附属单位补助支出</w:t>
            </w: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一般公共服务支出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42.90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19.90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民主党派及工商联事务</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42.90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19.90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行政运行</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2012802</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一般行政管理事务</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5.00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5.00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2012804</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参政议政</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7.90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7.90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2012899</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其他民主党派及工商联事务支出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7.00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7.00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行政事业单位养老支出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1084"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2080505</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2080506</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卫生健康支出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行政事业单位医疗</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2101101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行政单位医疗</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729"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2101103</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公务员医疗补助</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住房保障支出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22102</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住房改革支出</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30"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2210201</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住房公积金</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451" w:hRule="atLeast"/>
        </w:trPr>
        <w:tc>
          <w:tcPr>
            <w:tcW w:w="12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8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r>
              <w:rPr>
                <w:rFonts w:hint="eastAsia" w:ascii="宋体" w:hAnsi="宋体" w:eastAsia="宋体" w:cs="宋体"/>
                <w:b/>
                <w:bCs/>
                <w:color w:val="000000"/>
                <w:kern w:val="0"/>
                <w:sz w:val="22"/>
              </w:rPr>
              <w:t xml:space="preserve">    合 计</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50.23 </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30.33 </w:t>
            </w:r>
          </w:p>
        </w:tc>
        <w:tc>
          <w:tcPr>
            <w:tcW w:w="83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19.90 </w:t>
            </w:r>
          </w:p>
        </w:tc>
        <w:tc>
          <w:tcPr>
            <w:tcW w:w="11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98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97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r>
    </w:tbl>
    <w:p/>
    <w:p>
      <w:pPr>
        <w:rPr>
          <w:rFonts w:hint="eastAsia" w:ascii="宋体" w:hAnsi="宋体" w:cs="宋体"/>
          <w:kern w:val="0"/>
          <w:sz w:val="20"/>
          <w:szCs w:val="20"/>
          <w:lang w:val="en-US" w:eastAsia="zh-CN"/>
        </w:rPr>
      </w:pPr>
    </w:p>
    <w:p>
      <w:pPr>
        <w:ind w:firstLine="7000" w:firstLineChars="3500"/>
        <w:rPr>
          <w:rFonts w:ascii="宋体" w:hAnsi="宋体" w:cs="宋体"/>
          <w:kern w:val="0"/>
          <w:sz w:val="20"/>
          <w:szCs w:val="20"/>
        </w:rPr>
      </w:pP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部门公开表4</w:t>
      </w:r>
    </w:p>
    <w:p>
      <w:pPr>
        <w:widowControl/>
        <w:ind w:firstLine="482" w:firstLineChars="150"/>
        <w:rPr>
          <w:rFonts w:ascii="华文中宋" w:hAnsi="华文中宋" w:eastAsia="华文中宋" w:cs="宋体"/>
          <w:b/>
          <w:bCs/>
          <w:kern w:val="0"/>
          <w:sz w:val="30"/>
          <w:szCs w:val="30"/>
        </w:rPr>
      </w:pPr>
      <w:r>
        <w:rPr>
          <w:rFonts w:hint="eastAsia" w:ascii="华文中宋" w:hAnsi="华文中宋" w:eastAsia="华文中宋" w:cs="宋体"/>
          <w:b/>
          <w:bCs/>
          <w:kern w:val="0"/>
          <w:sz w:val="32"/>
          <w:szCs w:val="32"/>
          <w:lang w:eastAsia="zh-CN"/>
        </w:rPr>
        <w:t>中国致公党安庆市委员会</w:t>
      </w:r>
      <w:r>
        <w:rPr>
          <w:rFonts w:hint="eastAsia" w:ascii="华文中宋" w:hAnsi="华文中宋" w:eastAsia="华文中宋" w:cs="宋体"/>
          <w:b/>
          <w:bCs/>
          <w:kern w:val="0"/>
          <w:sz w:val="30"/>
          <w:szCs w:val="30"/>
          <w:lang w:eastAsia="zh-CN"/>
        </w:rPr>
        <w:t>2022</w:t>
      </w:r>
      <w:r>
        <w:rPr>
          <w:rFonts w:hint="eastAsia" w:ascii="华文中宋" w:hAnsi="华文中宋" w:eastAsia="华文中宋" w:cs="宋体"/>
          <w:b/>
          <w:bCs/>
          <w:kern w:val="0"/>
          <w:sz w:val="30"/>
          <w:szCs w:val="30"/>
        </w:rPr>
        <w:t>年财政拨款收支总表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419" w:type="dxa"/>
        <w:tblInd w:w="93" w:type="dxa"/>
        <w:tblLayout w:type="fixed"/>
        <w:tblCellMar>
          <w:top w:w="0" w:type="dxa"/>
          <w:left w:w="108" w:type="dxa"/>
          <w:bottom w:w="0" w:type="dxa"/>
          <w:right w:w="108" w:type="dxa"/>
        </w:tblCellMar>
      </w:tblPr>
      <w:tblGrid>
        <w:gridCol w:w="2719"/>
        <w:gridCol w:w="1059"/>
        <w:gridCol w:w="3469"/>
        <w:gridCol w:w="1172"/>
      </w:tblGrid>
      <w:tr>
        <w:tblPrEx>
          <w:tblCellMar>
            <w:top w:w="0" w:type="dxa"/>
            <w:left w:w="108" w:type="dxa"/>
            <w:bottom w:w="0" w:type="dxa"/>
            <w:right w:w="108" w:type="dxa"/>
          </w:tblCellMar>
        </w:tblPrEx>
        <w:trPr>
          <w:trHeight w:val="332" w:hRule="atLeast"/>
        </w:trPr>
        <w:tc>
          <w:tcPr>
            <w:tcW w:w="377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收      入</w:t>
            </w:r>
          </w:p>
        </w:tc>
        <w:tc>
          <w:tcPr>
            <w:tcW w:w="4641"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支      出</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项目</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预算数</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一、本年收入</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一、本年支出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50.23</w:t>
            </w: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（一）一般公共服务支出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42.90</w:t>
            </w: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（二）外交支出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（三）国防支出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（四）公共安全支出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二、上年结转</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（五）教育支出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（一）一般公共预算拨款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（六）科学技术支出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（二）政府性基金预算拨款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（七）文化旅游体育与传媒支出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（三）国有资本经营预算拨款</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（八）社会保障和就业支出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3.19</w:t>
            </w: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（九）卫生健康支出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1.34</w:t>
            </w: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（十）节能环保支出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（十一）城乡社区支出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（十二）农林水支出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nil"/>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（十三）交通运输支出</w:t>
            </w:r>
          </w:p>
        </w:tc>
        <w:tc>
          <w:tcPr>
            <w:tcW w:w="1172"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（十四）资源勘探工业信息等支出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（十五）商业服务业等支出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（十六）金融支出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（十七）援助其他地区支出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（十八）自然资源海洋气象等支出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（十九）住房保障支出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2.79</w:t>
            </w: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（二十）粮油物资储备支出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（二十一）灾害防治及应急管理支出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（二十二）预备费</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（二十三）其他支出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（二十四）转移性支出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（二十五）债务还本支出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（二十六）债务付息支出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kern w:val="0"/>
                <w:sz w:val="20"/>
                <w:szCs w:val="20"/>
              </w:rPr>
            </w:pPr>
            <w:r>
              <w:rPr>
                <w:rFonts w:hint="eastAsia" w:ascii="宋体" w:hAnsi="宋体" w:eastAsia="宋体" w:cs="宋体"/>
                <w:kern w:val="0"/>
                <w:sz w:val="20"/>
                <w:szCs w:val="20"/>
              </w:rPr>
              <w:t>（二十七）债务发行费用支出</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二、年终结转结余</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（一）一般公共预算结转结余</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（二）政府性基金预算结转结余</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（三）国有资本经营预算结转结余</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3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0"/>
                <w:szCs w:val="20"/>
              </w:rPr>
            </w:pPr>
            <w:r>
              <w:rPr>
                <w:rFonts w:hint="eastAsia" w:ascii="宋体" w:hAnsi="宋体" w:eastAsia="宋体" w:cs="宋体"/>
                <w:color w:val="000000"/>
                <w:kern w:val="0"/>
                <w:sz w:val="20"/>
                <w:szCs w:val="20"/>
              </w:rPr>
              <w:t>　</w:t>
            </w:r>
          </w:p>
        </w:tc>
      </w:tr>
      <w:tr>
        <w:tblPrEx>
          <w:tblCellMar>
            <w:top w:w="0" w:type="dxa"/>
            <w:left w:w="108" w:type="dxa"/>
            <w:bottom w:w="0" w:type="dxa"/>
            <w:right w:w="108" w:type="dxa"/>
          </w:tblCellMar>
        </w:tblPrEx>
        <w:trPr>
          <w:trHeight w:val="342" w:hRule="atLeast"/>
        </w:trPr>
        <w:tc>
          <w:tcPr>
            <w:tcW w:w="2719"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收    入    总    计</w:t>
            </w:r>
          </w:p>
        </w:tc>
        <w:tc>
          <w:tcPr>
            <w:tcW w:w="10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lang w:val="en-US" w:eastAsia="zh-CN"/>
              </w:rPr>
              <w:t>50.23</w:t>
            </w:r>
            <w:r>
              <w:rPr>
                <w:rFonts w:hint="eastAsia" w:ascii="宋体" w:hAnsi="宋体" w:eastAsia="宋体" w:cs="宋体"/>
                <w:b/>
                <w:bCs/>
                <w:color w:val="000000"/>
                <w:kern w:val="0"/>
                <w:sz w:val="20"/>
                <w:szCs w:val="20"/>
              </w:rPr>
              <w:t>　</w:t>
            </w:r>
          </w:p>
        </w:tc>
        <w:tc>
          <w:tcPr>
            <w:tcW w:w="346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rPr>
              <w:t>支    出    总    计</w:t>
            </w:r>
          </w:p>
        </w:tc>
        <w:tc>
          <w:tcPr>
            <w:tcW w:w="117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0"/>
                <w:szCs w:val="20"/>
              </w:rPr>
            </w:pPr>
            <w:r>
              <w:rPr>
                <w:rFonts w:hint="eastAsia" w:ascii="宋体" w:hAnsi="宋体" w:eastAsia="宋体" w:cs="宋体"/>
                <w:b/>
                <w:bCs/>
                <w:color w:val="000000"/>
                <w:kern w:val="0"/>
                <w:sz w:val="20"/>
                <w:szCs w:val="20"/>
                <w:lang w:val="en-US" w:eastAsia="zh-CN"/>
              </w:rPr>
              <w:t>50.23</w:t>
            </w:r>
            <w:r>
              <w:rPr>
                <w:rFonts w:hint="eastAsia" w:ascii="宋体" w:hAnsi="宋体" w:eastAsia="宋体" w:cs="宋体"/>
                <w:b/>
                <w:bCs/>
                <w:color w:val="000000"/>
                <w:kern w:val="0"/>
                <w:sz w:val="20"/>
                <w:szCs w:val="20"/>
              </w:rPr>
              <w:t>　</w:t>
            </w:r>
          </w:p>
        </w:tc>
      </w:tr>
    </w:tbl>
    <w:p>
      <w:pPr>
        <w:ind w:firstLine="7000" w:firstLineChars="3500"/>
        <w:rPr>
          <w:rFonts w:ascii="宋体" w:hAnsi="宋体" w:cs="宋体"/>
          <w:kern w:val="0"/>
          <w:sz w:val="20"/>
          <w:szCs w:val="20"/>
        </w:rPr>
      </w:pPr>
      <w:r>
        <w:rPr>
          <w:rFonts w:hint="eastAsia" w:ascii="宋体" w:hAnsi="宋体" w:cs="宋体"/>
          <w:kern w:val="0"/>
          <w:sz w:val="20"/>
          <w:szCs w:val="20"/>
        </w:rPr>
        <w:t>部门公开表5</w:t>
      </w:r>
    </w:p>
    <w:p>
      <w:pPr>
        <w:widowControl/>
        <w:jc w:val="center"/>
        <w:rPr>
          <w:rFonts w:ascii="华文中宋" w:hAnsi="华文中宋" w:eastAsia="华文中宋" w:cs="宋体"/>
          <w:b/>
          <w:bCs/>
          <w:kern w:val="0"/>
          <w:sz w:val="28"/>
          <w:szCs w:val="28"/>
        </w:rPr>
      </w:pPr>
      <w:r>
        <w:rPr>
          <w:rFonts w:hint="eastAsia" w:ascii="华文中宋" w:hAnsi="华文中宋" w:eastAsia="华文中宋" w:cs="宋体"/>
          <w:b/>
          <w:bCs/>
          <w:kern w:val="0"/>
          <w:sz w:val="28"/>
          <w:szCs w:val="28"/>
          <w:lang w:eastAsia="zh-CN"/>
        </w:rPr>
        <w:t>中国致公党安庆市委员会2022</w:t>
      </w:r>
      <w:r>
        <w:rPr>
          <w:rFonts w:hint="eastAsia" w:ascii="华文中宋" w:hAnsi="华文中宋" w:eastAsia="华文中宋" w:cs="宋体"/>
          <w:b/>
          <w:bCs/>
          <w:kern w:val="0"/>
          <w:sz w:val="28"/>
          <w:szCs w:val="28"/>
        </w:rPr>
        <w:t>年一般公共预算支出表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58" w:type="dxa"/>
        <w:tblInd w:w="100" w:type="dxa"/>
        <w:tblLayout w:type="fixed"/>
        <w:tblCellMar>
          <w:top w:w="0" w:type="dxa"/>
          <w:left w:w="108" w:type="dxa"/>
          <w:bottom w:w="0" w:type="dxa"/>
          <w:right w:w="108" w:type="dxa"/>
        </w:tblCellMar>
      </w:tblPr>
      <w:tblGrid>
        <w:gridCol w:w="1201"/>
        <w:gridCol w:w="2430"/>
        <w:gridCol w:w="836"/>
        <w:gridCol w:w="1097"/>
        <w:gridCol w:w="1097"/>
        <w:gridCol w:w="1100"/>
        <w:gridCol w:w="1097"/>
      </w:tblGrid>
      <w:tr>
        <w:tblPrEx>
          <w:tblCellMar>
            <w:top w:w="0" w:type="dxa"/>
            <w:left w:w="108" w:type="dxa"/>
            <w:bottom w:w="0" w:type="dxa"/>
            <w:right w:w="108" w:type="dxa"/>
          </w:tblCellMar>
        </w:tblPrEx>
        <w:trPr>
          <w:trHeight w:val="555" w:hRule="atLeast"/>
        </w:trPr>
        <w:tc>
          <w:tcPr>
            <w:tcW w:w="1201"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2430"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83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3294"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基本支出</w:t>
            </w:r>
          </w:p>
        </w:tc>
        <w:tc>
          <w:tcPr>
            <w:tcW w:w="1097" w:type="dxa"/>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b/>
                <w:bCs/>
                <w:color w:val="000000"/>
                <w:kern w:val="0"/>
                <w:sz w:val="22"/>
              </w:rPr>
            </w:pPr>
            <w:r>
              <w:rPr>
                <w:rFonts w:hint="eastAsia" w:ascii="宋体" w:hAnsi="宋体" w:eastAsia="宋体" w:cs="宋体"/>
                <w:b/>
                <w:bCs/>
                <w:color w:val="000000"/>
                <w:kern w:val="0"/>
                <w:sz w:val="22"/>
              </w:rPr>
              <w:t>项目</w:t>
            </w:r>
          </w:p>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支出</w:t>
            </w:r>
          </w:p>
        </w:tc>
      </w:tr>
      <w:tr>
        <w:tblPrEx>
          <w:tblCellMar>
            <w:top w:w="0" w:type="dxa"/>
            <w:left w:w="108" w:type="dxa"/>
            <w:bottom w:w="0" w:type="dxa"/>
            <w:right w:w="108" w:type="dxa"/>
          </w:tblCellMar>
        </w:tblPrEx>
        <w:trPr>
          <w:trHeight w:val="644" w:hRule="atLeast"/>
        </w:trPr>
        <w:tc>
          <w:tcPr>
            <w:tcW w:w="1201" w:type="dxa"/>
            <w:vMerge w:val="continue"/>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2430" w:type="dxa"/>
            <w:vMerge w:val="continue"/>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836"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小计</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firstLine="221" w:firstLineChars="100"/>
              <w:jc w:val="both"/>
              <w:rPr>
                <w:rFonts w:hint="eastAsia" w:ascii="宋体" w:hAnsi="宋体" w:eastAsia="宋体" w:cs="宋体"/>
                <w:b/>
                <w:bCs/>
                <w:color w:val="000000"/>
                <w:kern w:val="0"/>
                <w:sz w:val="22"/>
              </w:rPr>
            </w:pPr>
            <w:r>
              <w:rPr>
                <w:rFonts w:hint="eastAsia" w:ascii="宋体" w:hAnsi="宋体" w:eastAsia="宋体" w:cs="宋体"/>
                <w:b/>
                <w:bCs/>
                <w:color w:val="000000"/>
                <w:kern w:val="0"/>
                <w:sz w:val="22"/>
              </w:rPr>
              <w:t>人员</w:t>
            </w:r>
          </w:p>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经费</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firstLine="221" w:firstLineChars="100"/>
              <w:jc w:val="both"/>
              <w:rPr>
                <w:rFonts w:hint="eastAsia" w:ascii="宋体" w:hAnsi="宋体" w:eastAsia="宋体" w:cs="宋体"/>
                <w:b/>
                <w:bCs/>
                <w:color w:val="000000"/>
                <w:kern w:val="0"/>
                <w:sz w:val="22"/>
              </w:rPr>
            </w:pPr>
            <w:r>
              <w:rPr>
                <w:rFonts w:hint="eastAsia" w:ascii="宋体" w:hAnsi="宋体" w:eastAsia="宋体" w:cs="宋体"/>
                <w:b/>
                <w:bCs/>
                <w:color w:val="000000"/>
                <w:kern w:val="0"/>
                <w:sz w:val="22"/>
              </w:rPr>
              <w:t>公用</w:t>
            </w:r>
          </w:p>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经费</w:t>
            </w:r>
          </w:p>
        </w:tc>
        <w:tc>
          <w:tcPr>
            <w:tcW w:w="1097" w:type="dxa"/>
            <w:vMerge w:val="continue"/>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w:t>
            </w:r>
          </w:p>
        </w:tc>
        <w:tc>
          <w:tcPr>
            <w:tcW w:w="243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一般公共服务支出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42.90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13.43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9.57 </w:t>
            </w:r>
          </w:p>
        </w:tc>
        <w:tc>
          <w:tcPr>
            <w:tcW w:w="109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19.90 </w:t>
            </w: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民主党派及工商联事务</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42.90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13.43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9.57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19.90 </w:t>
            </w: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2012801</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行政运行</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23.00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13.43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9.57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2012802</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一般行政管理事务</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5.00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5.00 </w:t>
            </w: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2012804</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参政议政</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7.90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7.90 </w:t>
            </w:r>
          </w:p>
        </w:tc>
      </w:tr>
      <w:tr>
        <w:tblPrEx>
          <w:tblCellMar>
            <w:top w:w="0" w:type="dxa"/>
            <w:left w:w="108" w:type="dxa"/>
            <w:bottom w:w="0" w:type="dxa"/>
            <w:right w:w="108" w:type="dxa"/>
          </w:tblCellMar>
        </w:tblPrEx>
        <w:trPr>
          <w:trHeight w:val="938"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2012899</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其他民主党派及工商联事务支出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7.00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7.00 </w:t>
            </w: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行政事业单位养老支出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3.19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938"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2080505</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机关事业单位基本养老保险缴费支出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938"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2080506</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机关事业单位职业年金缴费支出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卫生健康支出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行政事业单位医疗</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1.34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2101101</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行政单位医疗</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2101103</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公务员医疗补助</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住房保障支出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22102</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住房改革支出</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555"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2210201</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住房公积金</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c>
          <w:tcPr>
            <w:tcW w:w="1097"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color w:val="000000"/>
                <w:kern w:val="0"/>
                <w:sz w:val="22"/>
              </w:rPr>
            </w:pPr>
          </w:p>
        </w:tc>
      </w:tr>
      <w:tr>
        <w:tblPrEx>
          <w:tblCellMar>
            <w:top w:w="0" w:type="dxa"/>
            <w:left w:w="108" w:type="dxa"/>
            <w:bottom w:w="0" w:type="dxa"/>
            <w:right w:w="108" w:type="dxa"/>
          </w:tblCellMar>
        </w:tblPrEx>
        <w:trPr>
          <w:trHeight w:val="591" w:hRule="atLeast"/>
        </w:trPr>
        <w:tc>
          <w:tcPr>
            <w:tcW w:w="1201"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合 计</w:t>
            </w:r>
          </w:p>
        </w:tc>
        <w:tc>
          <w:tcPr>
            <w:tcW w:w="83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50.23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30.33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20.76 </w:t>
            </w:r>
          </w:p>
        </w:tc>
        <w:tc>
          <w:tcPr>
            <w:tcW w:w="11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9.57 </w:t>
            </w:r>
          </w:p>
        </w:tc>
        <w:tc>
          <w:tcPr>
            <w:tcW w:w="10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b/>
                <w:bCs/>
                <w:i w:val="0"/>
                <w:iCs w:val="0"/>
                <w:color w:val="000000"/>
                <w:kern w:val="0"/>
                <w:sz w:val="20"/>
                <w:szCs w:val="20"/>
                <w:u w:val="none"/>
                <w:lang w:val="en-US" w:eastAsia="zh-CN" w:bidi="ar"/>
              </w:rPr>
              <w:t xml:space="preserve">19.90 </w:t>
            </w:r>
          </w:p>
        </w:tc>
      </w:tr>
    </w:tbl>
    <w:p>
      <w:pPr>
        <w:ind w:left="903" w:leftChars="430" w:firstLine="6200" w:firstLineChars="3100"/>
        <w:rPr>
          <w:rFonts w:ascii="宋体" w:hAnsi="宋体" w:cs="宋体"/>
          <w:kern w:val="0"/>
          <w:sz w:val="20"/>
          <w:szCs w:val="20"/>
        </w:rPr>
      </w:pPr>
      <w:r>
        <w:rPr>
          <w:rFonts w:hint="eastAsia" w:ascii="宋体" w:hAnsi="宋体" w:cs="宋体"/>
          <w:kern w:val="0"/>
          <w:sz w:val="20"/>
          <w:szCs w:val="20"/>
        </w:rPr>
        <w:t>部门公开表6</w:t>
      </w:r>
      <w:r>
        <w:rPr>
          <w:rFonts w:hint="eastAsia" w:ascii="华文中宋" w:hAnsi="华文中宋" w:eastAsia="华文中宋" w:cs="宋体"/>
          <w:b/>
          <w:bCs/>
          <w:color w:val="000000"/>
          <w:kern w:val="0"/>
          <w:sz w:val="24"/>
          <w:szCs w:val="24"/>
          <w:lang w:eastAsia="zh-CN"/>
        </w:rPr>
        <w:t>中国致公党安庆市委员会2022</w:t>
      </w:r>
      <w:r>
        <w:rPr>
          <w:rFonts w:hint="eastAsia" w:ascii="华文中宋" w:hAnsi="华文中宋" w:eastAsia="华文中宋" w:cs="宋体"/>
          <w:b/>
          <w:bCs/>
          <w:color w:val="000000"/>
          <w:kern w:val="0"/>
          <w:sz w:val="24"/>
          <w:szCs w:val="24"/>
        </w:rPr>
        <w:t>年一般公共预算基本支出表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99" w:type="dxa"/>
        <w:tblInd w:w="100" w:type="dxa"/>
        <w:tblLayout w:type="fixed"/>
        <w:tblCellMar>
          <w:top w:w="0" w:type="dxa"/>
          <w:left w:w="108" w:type="dxa"/>
          <w:bottom w:w="0" w:type="dxa"/>
          <w:right w:w="108" w:type="dxa"/>
        </w:tblCellMar>
      </w:tblPr>
      <w:tblGrid>
        <w:gridCol w:w="1595"/>
        <w:gridCol w:w="3227"/>
        <w:gridCol w:w="1257"/>
        <w:gridCol w:w="1390"/>
        <w:gridCol w:w="1430"/>
      </w:tblGrid>
      <w:tr>
        <w:tblPrEx>
          <w:tblCellMar>
            <w:top w:w="0" w:type="dxa"/>
            <w:left w:w="108" w:type="dxa"/>
            <w:bottom w:w="0" w:type="dxa"/>
            <w:right w:w="108" w:type="dxa"/>
          </w:tblCellMar>
        </w:tblPrEx>
        <w:trPr>
          <w:trHeight w:val="507" w:hRule="atLeast"/>
        </w:trPr>
        <w:tc>
          <w:tcPr>
            <w:tcW w:w="482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部门预算支出经济分类科目</w:t>
            </w:r>
          </w:p>
        </w:tc>
        <w:tc>
          <w:tcPr>
            <w:tcW w:w="4077"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本年一般公共预算基本支出</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科目编码</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科目名称</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合计</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人员经费</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kern w:val="0"/>
                <w:sz w:val="22"/>
              </w:rPr>
            </w:pPr>
            <w:r>
              <w:rPr>
                <w:rFonts w:hint="eastAsia" w:ascii="宋体" w:hAnsi="宋体" w:eastAsia="宋体" w:cs="宋体"/>
                <w:b/>
                <w:bCs/>
                <w:kern w:val="0"/>
                <w:sz w:val="22"/>
              </w:rPr>
              <w:t>公用经费</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工资福利支出</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20.76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20.76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30101</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基本工资</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7.68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7.68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30102</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津贴补贴</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4.99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4.99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30103</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奖金</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0.64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0.64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30108</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机关事业单位基本养老保险缴费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2.13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30109</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职业年金缴费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1.06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30110</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职工基本医疗保险缴费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0.95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30111</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公务员医疗补助缴费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0.40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30112</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其他社会保障缴费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0.12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0.12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30113</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住房公积金</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2.79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商品和服务支出</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9.57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Arial" w:hAnsi="Arial" w:eastAsia="宋体" w:cs="Arial"/>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9.57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30201</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办公费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0.75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Arial" w:hAnsi="Arial" w:eastAsia="宋体" w:cs="Arial"/>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0.75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30207</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邮电费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Arial" w:hAnsi="Arial" w:eastAsia="宋体" w:cs="Arial"/>
                <w:kern w:val="0"/>
                <w:sz w:val="22"/>
              </w:rPr>
            </w:pPr>
            <w:r>
              <w:rPr>
                <w:rFonts w:hint="eastAsia" w:ascii="宋体" w:hAnsi="宋体" w:eastAsia="宋体" w:cs="宋体"/>
                <w:i w:val="0"/>
                <w:iCs w:val="0"/>
                <w:color w:val="000000"/>
                <w:kern w:val="0"/>
                <w:sz w:val="20"/>
                <w:szCs w:val="20"/>
                <w:u w:val="none"/>
                <w:lang w:val="en-US" w:eastAsia="zh-CN" w:bidi="ar"/>
              </w:rPr>
              <w:t xml:space="preserve">0.10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Arial" w:hAnsi="Arial" w:eastAsia="宋体" w:cs="Arial"/>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0.10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30209</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物业管理费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0.60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default"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0.60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30211</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差旅费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30213</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维修（护）费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3.00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3.00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30215</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会议费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2.00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2.00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30217</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公务接待费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0.15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0.15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30226</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劳务费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0.80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0.80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30228</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工会经费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0.27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0.27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30229</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福利费</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0.20 </w:t>
            </w:r>
          </w:p>
        </w:tc>
      </w:tr>
      <w:tr>
        <w:tblPrEx>
          <w:tblCellMar>
            <w:top w:w="0" w:type="dxa"/>
            <w:left w:w="108" w:type="dxa"/>
            <w:bottom w:w="0" w:type="dxa"/>
            <w:right w:w="108" w:type="dxa"/>
          </w:tblCellMar>
        </w:tblPrEx>
        <w:trPr>
          <w:trHeight w:val="507"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30239</w:t>
            </w: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其他交通费用</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1.50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kern w:val="0"/>
                <w:sz w:val="22"/>
              </w:rPr>
            </w:pP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0"/>
                <w:szCs w:val="20"/>
                <w:u w:val="none"/>
                <w:lang w:val="en-US" w:eastAsia="zh-CN" w:bidi="ar"/>
              </w:rPr>
              <w:t xml:space="preserve">1.50 </w:t>
            </w:r>
          </w:p>
        </w:tc>
      </w:tr>
      <w:tr>
        <w:tblPrEx>
          <w:tblCellMar>
            <w:top w:w="0" w:type="dxa"/>
            <w:left w:w="108" w:type="dxa"/>
            <w:bottom w:w="0" w:type="dxa"/>
            <w:right w:w="108" w:type="dxa"/>
          </w:tblCellMar>
        </w:tblPrEx>
        <w:trPr>
          <w:trHeight w:val="519" w:hRule="atLeast"/>
        </w:trPr>
        <w:tc>
          <w:tcPr>
            <w:tcW w:w="1595"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kern w:val="0"/>
                <w:sz w:val="22"/>
              </w:rPr>
            </w:pPr>
          </w:p>
        </w:tc>
        <w:tc>
          <w:tcPr>
            <w:tcW w:w="32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kern w:val="0"/>
                <w:sz w:val="22"/>
              </w:rPr>
            </w:pPr>
            <w:r>
              <w:rPr>
                <w:rFonts w:hint="eastAsia" w:ascii="宋体" w:hAnsi="宋体" w:eastAsia="宋体" w:cs="宋体"/>
                <w:b/>
                <w:bCs/>
                <w:i w:val="0"/>
                <w:iCs w:val="0"/>
                <w:color w:val="000000"/>
                <w:kern w:val="0"/>
                <w:sz w:val="20"/>
                <w:szCs w:val="20"/>
                <w:u w:val="none"/>
                <w:lang w:val="en-US" w:eastAsia="zh-CN" w:bidi="ar"/>
              </w:rPr>
              <w:t>合 计</w:t>
            </w:r>
          </w:p>
        </w:tc>
        <w:tc>
          <w:tcPr>
            <w:tcW w:w="125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30.33 </w:t>
            </w:r>
          </w:p>
        </w:tc>
        <w:tc>
          <w:tcPr>
            <w:tcW w:w="139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20.76 </w:t>
            </w:r>
          </w:p>
        </w:tc>
        <w:tc>
          <w:tcPr>
            <w:tcW w:w="1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eastAsia="宋体" w:cs="宋体"/>
                <w:b/>
                <w:bCs/>
                <w:i w:val="0"/>
                <w:iCs w:val="0"/>
                <w:color w:val="000000"/>
                <w:kern w:val="0"/>
                <w:sz w:val="20"/>
                <w:szCs w:val="20"/>
                <w:u w:val="none"/>
                <w:lang w:val="en-US" w:eastAsia="zh-CN" w:bidi="ar"/>
              </w:rPr>
              <w:t xml:space="preserve">9.57 </w:t>
            </w:r>
          </w:p>
        </w:tc>
      </w:tr>
    </w:tbl>
    <w:p>
      <w:pPr>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部门公开表7</w:t>
      </w:r>
    </w:p>
    <w:p>
      <w:pPr>
        <w:widowControl/>
        <w:ind w:firstLine="141" w:firstLineChars="50"/>
        <w:jc w:val="center"/>
        <w:rPr>
          <w:rFonts w:ascii="华文中宋" w:hAnsi="华文中宋" w:eastAsia="华文中宋" w:cs="宋体"/>
          <w:b/>
          <w:bCs/>
          <w:kern w:val="0"/>
          <w:sz w:val="28"/>
          <w:szCs w:val="28"/>
        </w:rPr>
      </w:pPr>
      <w:r>
        <w:rPr>
          <w:rFonts w:hint="eastAsia" w:ascii="华文中宋" w:hAnsi="华文中宋" w:eastAsia="华文中宋" w:cs="宋体"/>
          <w:b/>
          <w:bCs/>
          <w:kern w:val="0"/>
          <w:sz w:val="28"/>
          <w:szCs w:val="28"/>
          <w:lang w:eastAsia="zh-CN"/>
        </w:rPr>
        <w:t>中国致公党安庆市委员会2022</w:t>
      </w:r>
      <w:r>
        <w:rPr>
          <w:rFonts w:hint="eastAsia" w:ascii="华文中宋" w:hAnsi="华文中宋" w:eastAsia="华文中宋" w:cs="宋体"/>
          <w:b/>
          <w:bCs/>
          <w:kern w:val="0"/>
          <w:sz w:val="28"/>
          <w:szCs w:val="28"/>
        </w:rPr>
        <w:t>年政府性基金预算支出表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8839" w:type="dxa"/>
        <w:tblInd w:w="100" w:type="dxa"/>
        <w:tblLayout w:type="fixed"/>
        <w:tblCellMar>
          <w:top w:w="0" w:type="dxa"/>
          <w:left w:w="108" w:type="dxa"/>
          <w:bottom w:w="0" w:type="dxa"/>
          <w:right w:w="108" w:type="dxa"/>
        </w:tblCellMar>
      </w:tblPr>
      <w:tblGrid>
        <w:gridCol w:w="1403"/>
        <w:gridCol w:w="3347"/>
        <w:gridCol w:w="1363"/>
        <w:gridCol w:w="1363"/>
        <w:gridCol w:w="1363"/>
      </w:tblGrid>
      <w:tr>
        <w:tblPrEx>
          <w:tblCellMar>
            <w:top w:w="0" w:type="dxa"/>
            <w:left w:w="108" w:type="dxa"/>
            <w:bottom w:w="0" w:type="dxa"/>
            <w:right w:w="108" w:type="dxa"/>
          </w:tblCellMar>
        </w:tblPrEx>
        <w:trPr>
          <w:trHeight w:val="556" w:hRule="atLeast"/>
        </w:trPr>
        <w:tc>
          <w:tcPr>
            <w:tcW w:w="14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科目编码</w:t>
            </w:r>
          </w:p>
        </w:tc>
        <w:tc>
          <w:tcPr>
            <w:tcW w:w="3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科目名称</w:t>
            </w:r>
          </w:p>
        </w:tc>
        <w:tc>
          <w:tcPr>
            <w:tcW w:w="4089" w:type="dxa"/>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本年政府性基金预算支出</w:t>
            </w:r>
          </w:p>
        </w:tc>
      </w:tr>
      <w:tr>
        <w:tblPrEx>
          <w:tblCellMar>
            <w:top w:w="0" w:type="dxa"/>
            <w:left w:w="108" w:type="dxa"/>
            <w:bottom w:w="0" w:type="dxa"/>
            <w:right w:w="108" w:type="dxa"/>
          </w:tblCellMar>
        </w:tblPrEx>
        <w:trPr>
          <w:trHeight w:val="556" w:hRule="atLeast"/>
        </w:trPr>
        <w:tc>
          <w:tcPr>
            <w:tcW w:w="140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3347"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基本支出</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项目支出</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33"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444" w:hRule="atLeast"/>
        </w:trPr>
        <w:tc>
          <w:tcPr>
            <w:tcW w:w="1403"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334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r>
              <w:rPr>
                <w:rFonts w:hint="eastAsia" w:ascii="宋体" w:hAnsi="宋体" w:eastAsia="宋体" w:cs="宋体"/>
                <w:b/>
                <w:bCs/>
                <w:color w:val="000000"/>
                <w:kern w:val="0"/>
                <w:sz w:val="22"/>
              </w:rPr>
              <w:t xml:space="preserve">          合 计</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136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r>
    </w:tbl>
    <w:p>
      <w:pPr>
        <w:pStyle w:val="4"/>
        <w:adjustRightInd w:val="0"/>
        <w:snapToGrid w:val="0"/>
        <w:spacing w:before="0" w:beforeAutospacing="0" w:after="0" w:afterAutospacing="0" w:line="360" w:lineRule="auto"/>
        <w:rPr>
          <w:rFonts w:hint="eastAsia" w:eastAsia="宋体"/>
          <w:lang w:eastAsia="zh-CN"/>
        </w:rPr>
      </w:pPr>
      <w:r>
        <w:rPr>
          <w:rFonts w:hint="eastAsia"/>
        </w:rPr>
        <w:t>注：</w:t>
      </w:r>
      <w:r>
        <w:rPr>
          <w:rFonts w:hint="eastAsia"/>
          <w:lang w:eastAsia="zh-CN"/>
        </w:rPr>
        <w:t>中国致公党安庆市委员会</w:t>
      </w:r>
      <w:r>
        <w:rPr>
          <w:rFonts w:hint="eastAsia"/>
        </w:rPr>
        <w:t>没有政府性基金预算拨款收入，也没有政府性基</w:t>
      </w:r>
      <w:r>
        <w:rPr>
          <w:rFonts w:hint="eastAsia"/>
          <w:lang w:eastAsia="zh-CN"/>
        </w:rPr>
        <w:t>金</w:t>
      </w:r>
      <w:r>
        <w:rPr>
          <w:rFonts w:hint="eastAsia"/>
        </w:rPr>
        <w:t>预算拨款安排的支出，故本表无数据</w:t>
      </w:r>
      <w:r>
        <w:rPr>
          <w:rFonts w:hint="eastAsia"/>
          <w:lang w:eastAsia="zh-CN"/>
        </w:rPr>
        <w:t>。</w:t>
      </w:r>
    </w:p>
    <w:p/>
    <w:p/>
    <w:p/>
    <w:p/>
    <w:p/>
    <w:p/>
    <w:p/>
    <w:p/>
    <w:p/>
    <w:p/>
    <w:p/>
    <w:p/>
    <w:p/>
    <w:p/>
    <w:p/>
    <w:p/>
    <w:p/>
    <w:p/>
    <w:p/>
    <w:p>
      <w:pPr>
        <w:pStyle w:val="4"/>
        <w:adjustRightInd w:val="0"/>
        <w:snapToGrid w:val="0"/>
        <w:spacing w:before="0" w:beforeAutospacing="0" w:after="0" w:afterAutospacing="0" w:line="360" w:lineRule="auto"/>
        <w:ind w:right="100"/>
        <w:jc w:val="right"/>
        <w:rPr>
          <w:rFonts w:hint="eastAsia"/>
          <w:sz w:val="20"/>
          <w:szCs w:val="20"/>
        </w:rPr>
      </w:pPr>
    </w:p>
    <w:p>
      <w:pPr>
        <w:pStyle w:val="4"/>
        <w:adjustRightInd w:val="0"/>
        <w:snapToGrid w:val="0"/>
        <w:spacing w:before="0" w:beforeAutospacing="0" w:after="0" w:afterAutospacing="0" w:line="360" w:lineRule="auto"/>
        <w:ind w:right="100"/>
        <w:jc w:val="right"/>
        <w:rPr>
          <w:rFonts w:ascii="黑体" w:hAnsi="黑体" w:eastAsia="黑体"/>
          <w:bCs/>
          <w:sz w:val="18"/>
          <w:szCs w:val="18"/>
        </w:rPr>
      </w:pPr>
      <w:r>
        <w:rPr>
          <w:rFonts w:hint="eastAsia"/>
          <w:sz w:val="20"/>
          <w:szCs w:val="20"/>
        </w:rPr>
        <w:t xml:space="preserve">  部门公开表8</w:t>
      </w:r>
    </w:p>
    <w:tbl>
      <w:tblPr>
        <w:tblStyle w:val="5"/>
        <w:tblW w:w="9110" w:type="dxa"/>
        <w:tblInd w:w="0" w:type="dxa"/>
        <w:tblLayout w:type="fixed"/>
        <w:tblCellMar>
          <w:top w:w="0" w:type="dxa"/>
          <w:left w:w="108" w:type="dxa"/>
          <w:bottom w:w="0" w:type="dxa"/>
          <w:right w:w="108" w:type="dxa"/>
        </w:tblCellMar>
      </w:tblPr>
      <w:tblGrid>
        <w:gridCol w:w="487"/>
        <w:gridCol w:w="692"/>
        <w:gridCol w:w="3760"/>
        <w:gridCol w:w="236"/>
        <w:gridCol w:w="1018"/>
        <w:gridCol w:w="1252"/>
        <w:gridCol w:w="359"/>
        <w:gridCol w:w="1255"/>
        <w:gridCol w:w="51"/>
      </w:tblGrid>
      <w:tr>
        <w:tblPrEx>
          <w:tblCellMar>
            <w:top w:w="0" w:type="dxa"/>
            <w:left w:w="108" w:type="dxa"/>
            <w:bottom w:w="0" w:type="dxa"/>
            <w:right w:w="108" w:type="dxa"/>
          </w:tblCellMar>
        </w:tblPrEx>
        <w:trPr>
          <w:gridAfter w:val="1"/>
          <w:wAfter w:w="51" w:type="dxa"/>
          <w:trHeight w:val="698" w:hRule="atLeast"/>
        </w:trPr>
        <w:tc>
          <w:tcPr>
            <w:tcW w:w="9059" w:type="dxa"/>
            <w:gridSpan w:val="8"/>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华文中宋" w:hAnsi="华文中宋" w:eastAsia="华文中宋" w:cs="宋体"/>
                <w:b/>
                <w:bCs/>
                <w:kern w:val="0"/>
                <w:sz w:val="28"/>
                <w:szCs w:val="28"/>
                <w:u w:val="single"/>
              </w:rPr>
            </w:pPr>
            <w:r>
              <w:rPr>
                <w:rFonts w:hint="eastAsia" w:ascii="华文中宋" w:hAnsi="华文中宋" w:eastAsia="华文中宋" w:cs="宋体"/>
                <w:b/>
                <w:bCs/>
                <w:kern w:val="0"/>
                <w:sz w:val="28"/>
                <w:szCs w:val="28"/>
                <w:lang w:eastAsia="zh-CN"/>
              </w:rPr>
              <w:t>中国致公党安庆市委员会2022</w:t>
            </w:r>
            <w:r>
              <w:rPr>
                <w:rFonts w:hint="eastAsia" w:ascii="华文中宋" w:hAnsi="华文中宋" w:eastAsia="华文中宋" w:cs="宋体"/>
                <w:b/>
                <w:bCs/>
                <w:kern w:val="0"/>
                <w:sz w:val="28"/>
                <w:szCs w:val="28"/>
              </w:rPr>
              <w:t>年国有资本经营预算支出表</w:t>
            </w:r>
          </w:p>
        </w:tc>
      </w:tr>
      <w:tr>
        <w:tblPrEx>
          <w:tblCellMar>
            <w:top w:w="0" w:type="dxa"/>
            <w:left w:w="108" w:type="dxa"/>
            <w:bottom w:w="0" w:type="dxa"/>
            <w:right w:w="108" w:type="dxa"/>
          </w:tblCellMar>
        </w:tblPrEx>
        <w:trPr>
          <w:trHeight w:val="420" w:hRule="atLeast"/>
        </w:trPr>
        <w:tc>
          <w:tcPr>
            <w:tcW w:w="487"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18"/>
                <w:szCs w:val="18"/>
              </w:rPr>
            </w:pPr>
          </w:p>
        </w:tc>
        <w:tc>
          <w:tcPr>
            <w:tcW w:w="692"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3760" w:type="dxa"/>
            <w:tcBorders>
              <w:top w:val="nil"/>
              <w:left w:val="nil"/>
              <w:bottom w:val="single" w:color="auto" w:sz="4" w:space="0"/>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236" w:type="dxa"/>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2629" w:type="dxa"/>
            <w:gridSpan w:val="3"/>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p>
        </w:tc>
        <w:tc>
          <w:tcPr>
            <w:tcW w:w="1306" w:type="dxa"/>
            <w:gridSpan w:val="2"/>
            <w:tcBorders>
              <w:top w:val="nil"/>
              <w:left w:val="nil"/>
              <w:bottom w:val="nil"/>
              <w:right w:val="nil"/>
            </w:tcBorders>
            <w:vAlign w:val="center"/>
          </w:tcPr>
          <w:p>
            <w:pPr>
              <w:keepNext w:val="0"/>
              <w:keepLines w:val="0"/>
              <w:widowControl/>
              <w:suppressLineNumbers w:val="0"/>
              <w:spacing w:before="0" w:beforeAutospacing="0" w:after="0" w:afterAutospacing="0"/>
              <w:ind w:left="0" w:right="100"/>
              <w:jc w:val="right"/>
              <w:rPr>
                <w:rFonts w:hint="default" w:ascii="宋体" w:hAnsi="宋体" w:cs="宋体"/>
                <w:kern w:val="0"/>
                <w:sz w:val="20"/>
                <w:szCs w:val="20"/>
              </w:rPr>
            </w:pPr>
            <w:r>
              <w:rPr>
                <w:rFonts w:hint="eastAsia" w:ascii="宋体" w:hAnsi="宋体" w:cs="宋体"/>
                <w:kern w:val="0"/>
                <w:sz w:val="20"/>
                <w:szCs w:val="20"/>
              </w:rPr>
              <w:t>单位：万元</w:t>
            </w:r>
          </w:p>
        </w:tc>
      </w:tr>
      <w:tr>
        <w:tblPrEx>
          <w:tblCellMar>
            <w:top w:w="0" w:type="dxa"/>
            <w:left w:w="108" w:type="dxa"/>
            <w:bottom w:w="0" w:type="dxa"/>
            <w:right w:w="108" w:type="dxa"/>
          </w:tblCellMar>
        </w:tblPrEx>
        <w:trPr>
          <w:gridAfter w:val="1"/>
          <w:wAfter w:w="51" w:type="dxa"/>
          <w:trHeight w:val="464" w:hRule="atLeast"/>
        </w:trPr>
        <w:tc>
          <w:tcPr>
            <w:tcW w:w="493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kern w:val="0"/>
                <w:sz w:val="24"/>
              </w:rPr>
            </w:pPr>
            <w:r>
              <w:rPr>
                <w:rFonts w:hint="eastAsia" w:ascii="宋体" w:hAnsi="宋体" w:cs="宋体"/>
                <w:b/>
                <w:kern w:val="0"/>
                <w:sz w:val="22"/>
              </w:rPr>
              <w:t>功能分类科目</w:t>
            </w:r>
          </w:p>
        </w:tc>
        <w:tc>
          <w:tcPr>
            <w:tcW w:w="4120" w:type="dxa"/>
            <w:gridSpan w:val="5"/>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b/>
                <w:bCs/>
                <w:kern w:val="0"/>
                <w:sz w:val="22"/>
              </w:rPr>
              <w:t>国有资本经营预算拨款支出</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kern w:val="0"/>
                <w:sz w:val="22"/>
              </w:rPr>
            </w:pPr>
            <w:r>
              <w:rPr>
                <w:rFonts w:hint="eastAsia" w:ascii="宋体" w:hAnsi="宋体" w:cs="宋体"/>
                <w:b/>
                <w:bCs/>
                <w:kern w:val="0"/>
                <w:sz w:val="22"/>
              </w:rPr>
              <w:t>科目编码</w:t>
            </w:r>
          </w:p>
        </w:tc>
        <w:tc>
          <w:tcPr>
            <w:tcW w:w="3760"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kern w:val="0"/>
                <w:sz w:val="22"/>
              </w:rPr>
            </w:pPr>
            <w:r>
              <w:rPr>
                <w:rFonts w:hint="eastAsia" w:ascii="宋体" w:hAnsi="宋体" w:cs="宋体"/>
                <w:b/>
                <w:bCs/>
                <w:kern w:val="0"/>
                <w:sz w:val="22"/>
              </w:rPr>
              <w:t>科目名称</w:t>
            </w:r>
          </w:p>
        </w:tc>
        <w:tc>
          <w:tcPr>
            <w:tcW w:w="1254"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kern w:val="0"/>
                <w:sz w:val="22"/>
              </w:rPr>
            </w:pPr>
            <w:r>
              <w:rPr>
                <w:rFonts w:hint="eastAsia" w:ascii="宋体" w:hAnsi="宋体" w:cs="宋体"/>
                <w:b/>
                <w:bCs/>
                <w:kern w:val="0"/>
                <w:sz w:val="22"/>
              </w:rPr>
              <w:t>合计</w:t>
            </w:r>
          </w:p>
        </w:tc>
        <w:tc>
          <w:tcPr>
            <w:tcW w:w="1252" w:type="dxa"/>
            <w:tcBorders>
              <w:top w:val="single" w:color="auto" w:sz="4" w:space="0"/>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kern w:val="0"/>
                <w:sz w:val="22"/>
              </w:rPr>
            </w:pPr>
            <w:r>
              <w:rPr>
                <w:rFonts w:hint="eastAsia" w:ascii="宋体" w:hAnsi="宋体" w:cs="宋体"/>
                <w:b/>
                <w:bCs/>
                <w:kern w:val="0"/>
                <w:sz w:val="22"/>
              </w:rPr>
              <w:t>基本支出</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b/>
                <w:bCs/>
                <w:kern w:val="0"/>
                <w:sz w:val="22"/>
              </w:rPr>
            </w:pPr>
            <w:r>
              <w:rPr>
                <w:rFonts w:hint="eastAsia" w:ascii="宋体" w:hAnsi="宋体" w:cs="宋体"/>
                <w:b/>
                <w:bCs/>
                <w:kern w:val="0"/>
                <w:sz w:val="22"/>
              </w:rPr>
              <w:t>项目支出</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r>
              <w:rPr>
                <w:rFonts w:hint="eastAsia" w:ascii="宋体" w:hAnsi="宋体" w:cs="宋体"/>
                <w:kern w:val="0"/>
                <w:sz w:val="22"/>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r>
              <w:rPr>
                <w:rFonts w:hint="eastAsia" w:ascii="宋体" w:hAnsi="宋体" w:cs="宋体"/>
                <w:kern w:val="0"/>
                <w:sz w:val="22"/>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000000" w:sz="4"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p>
        </w:tc>
        <w:tc>
          <w:tcPr>
            <w:tcW w:w="3760" w:type="dxa"/>
            <w:tcBorders>
              <w:top w:val="nil"/>
              <w:left w:val="nil"/>
              <w:bottom w:val="single" w:color="auto" w:sz="4" w:space="0"/>
              <w:right w:val="single" w:color="auto" w:sz="4" w:space="0"/>
            </w:tcBorders>
            <w:vAlign w:val="bottom"/>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r>
              <w:rPr>
                <w:rFonts w:hint="eastAsia" w:ascii="宋体" w:hAnsi="宋体" w:cs="宋体"/>
                <w:kern w:val="0"/>
                <w:sz w:val="22"/>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000000"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2"/>
              </w:rPr>
            </w:pPr>
            <w:r>
              <w:rPr>
                <w:rFonts w:hint="eastAsia" w:ascii="宋体" w:hAnsi="宋体" w:cs="宋体"/>
                <w:kern w:val="0"/>
                <w:sz w:val="22"/>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2"/>
              </w:rPr>
            </w:pPr>
            <w:r>
              <w:rPr>
                <w:rFonts w:hint="eastAsia" w:ascii="宋体" w:hAnsi="宋体" w:cs="宋体"/>
                <w:kern w:val="0"/>
                <w:sz w:val="22"/>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r>
              <w:rPr>
                <w:rFonts w:hint="eastAsia" w:ascii="宋体" w:hAnsi="宋体" w:cs="宋体"/>
                <w:kern w:val="0"/>
                <w:sz w:val="20"/>
                <w:szCs w:val="20"/>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r>
              <w:rPr>
                <w:rFonts w:hint="eastAsia" w:ascii="宋体" w:hAnsi="宋体" w:cs="宋体"/>
                <w:kern w:val="0"/>
                <w:sz w:val="20"/>
                <w:szCs w:val="20"/>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r>
              <w:rPr>
                <w:rFonts w:hint="eastAsia" w:ascii="宋体" w:hAnsi="宋体" w:cs="宋体"/>
                <w:kern w:val="0"/>
                <w:sz w:val="20"/>
                <w:szCs w:val="20"/>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11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c>
          <w:tcPr>
            <w:tcW w:w="3760"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464" w:hRule="atLeast"/>
        </w:trPr>
        <w:tc>
          <w:tcPr>
            <w:tcW w:w="4939"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b/>
                <w:bCs/>
                <w:kern w:val="0"/>
                <w:sz w:val="24"/>
              </w:rPr>
              <w:t>合</w:t>
            </w:r>
            <w:r>
              <w:rPr>
                <w:rFonts w:hint="eastAsia" w:ascii="宋体" w:hAnsi="宋体" w:cs="宋体"/>
                <w:b/>
                <w:bCs/>
                <w:kern w:val="0"/>
                <w:sz w:val="24"/>
                <w:lang w:val="en-US" w:eastAsia="zh-CN"/>
              </w:rPr>
              <w:t xml:space="preserve"> </w:t>
            </w:r>
            <w:r>
              <w:rPr>
                <w:rFonts w:hint="eastAsia" w:ascii="宋体" w:hAnsi="宋体" w:cs="宋体"/>
                <w:b/>
                <w:bCs/>
                <w:kern w:val="0"/>
                <w:sz w:val="24"/>
              </w:rPr>
              <w:t>计</w:t>
            </w:r>
          </w:p>
        </w:tc>
        <w:tc>
          <w:tcPr>
            <w:tcW w:w="125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c>
          <w:tcPr>
            <w:tcW w:w="1252" w:type="dxa"/>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c>
          <w:tcPr>
            <w:tcW w:w="1614" w:type="dxa"/>
            <w:gridSpan w:val="2"/>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center"/>
              <w:rPr>
                <w:rFonts w:hint="default"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gridAfter w:val="1"/>
          <w:wAfter w:w="51" w:type="dxa"/>
          <w:trHeight w:val="901" w:hRule="atLeast"/>
        </w:trPr>
        <w:tc>
          <w:tcPr>
            <w:tcW w:w="9059" w:type="dxa"/>
            <w:gridSpan w:val="8"/>
            <w:tcBorders>
              <w:top w:val="single" w:color="auto" w:sz="4" w:space="0"/>
              <w:left w:val="nil"/>
              <w:bottom w:val="nil"/>
              <w:right w:val="nil"/>
            </w:tcBorders>
            <w:vAlign w:val="center"/>
          </w:tcPr>
          <w:p>
            <w:pPr>
              <w:keepNext w:val="0"/>
              <w:keepLines w:val="0"/>
              <w:widowControl/>
              <w:suppressLineNumbers w:val="0"/>
              <w:spacing w:before="0" w:beforeAutospacing="0" w:after="0" w:afterAutospacing="0"/>
              <w:ind w:left="0" w:right="0"/>
              <w:jc w:val="left"/>
              <w:rPr>
                <w:rFonts w:hint="default" w:ascii="宋体" w:hAnsi="宋体" w:cs="宋体"/>
                <w:kern w:val="0"/>
                <w:sz w:val="24"/>
              </w:rPr>
            </w:pPr>
            <w:r>
              <w:rPr>
                <w:rFonts w:hint="eastAsia" w:ascii="宋体" w:hAnsi="宋体" w:cs="宋体"/>
                <w:kern w:val="0"/>
                <w:sz w:val="24"/>
              </w:rPr>
              <w:t>注</w:t>
            </w:r>
            <w:r>
              <w:rPr>
                <w:rFonts w:hint="eastAsia"/>
              </w:rPr>
              <w:t>：</w:t>
            </w:r>
            <w:r>
              <w:rPr>
                <w:rFonts w:hint="eastAsia" w:ascii="宋体" w:hAnsi="宋体" w:cs="宋体"/>
                <w:kern w:val="0"/>
                <w:sz w:val="24"/>
                <w:lang w:eastAsia="zh-CN"/>
              </w:rPr>
              <w:t>中国致公党安庆市委员会</w:t>
            </w:r>
            <w:r>
              <w:rPr>
                <w:rFonts w:hint="eastAsia" w:ascii="宋体" w:hAnsi="宋体" w:cs="宋体"/>
                <w:kern w:val="0"/>
                <w:sz w:val="24"/>
              </w:rPr>
              <w:t>没有国有资本经营预算拨款收入，也没有国有资本经营预算拨款安排的支出，故本表无数据。</w:t>
            </w:r>
          </w:p>
        </w:tc>
      </w:tr>
    </w:tbl>
    <w:p>
      <w:pPr>
        <w:pStyle w:val="4"/>
        <w:adjustRightInd w:val="0"/>
        <w:snapToGrid w:val="0"/>
        <w:spacing w:before="0" w:beforeAutospacing="0" w:after="0" w:afterAutospacing="0" w:line="360" w:lineRule="auto"/>
        <w:ind w:right="400"/>
        <w:rPr>
          <w:sz w:val="20"/>
          <w:szCs w:val="20"/>
        </w:rPr>
      </w:pPr>
    </w:p>
    <w:p/>
    <w:p>
      <w:pPr>
        <w:sectPr>
          <w:pgSz w:w="11906" w:h="16838"/>
          <w:pgMar w:top="1440" w:right="1797" w:bottom="1440" w:left="1797" w:header="851" w:footer="992" w:gutter="0"/>
          <w:cols w:space="425" w:num="1"/>
          <w:docGrid w:type="lines" w:linePitch="312" w:charSpace="0"/>
        </w:sectPr>
      </w:pPr>
    </w:p>
    <w:p>
      <w:pPr>
        <w:ind w:firstLine="9500" w:firstLineChars="4750"/>
        <w:rPr>
          <w:rFonts w:ascii="宋体" w:hAnsi="宋体" w:cs="宋体"/>
          <w:kern w:val="0"/>
          <w:sz w:val="20"/>
          <w:szCs w:val="20"/>
        </w:rPr>
      </w:pPr>
      <w:r>
        <w:rPr>
          <w:rFonts w:hint="eastAsia" w:ascii="宋体" w:hAnsi="宋体" w:cs="宋体"/>
          <w:kern w:val="0"/>
          <w:sz w:val="20"/>
          <w:szCs w:val="20"/>
        </w:rPr>
        <w:t xml:space="preserve">                      </w:t>
      </w:r>
      <w:r>
        <w:rPr>
          <w:rFonts w:hint="eastAsia" w:ascii="宋体" w:hAnsi="宋体" w:cs="宋体"/>
          <w:kern w:val="0"/>
          <w:sz w:val="20"/>
          <w:szCs w:val="20"/>
          <w:lang w:val="en-US" w:eastAsia="zh-CN"/>
        </w:rPr>
        <w:t xml:space="preserve">          </w:t>
      </w:r>
      <w:r>
        <w:rPr>
          <w:rFonts w:hint="eastAsia" w:ascii="宋体" w:hAnsi="宋体" w:cs="宋体"/>
          <w:kern w:val="0"/>
          <w:sz w:val="20"/>
          <w:szCs w:val="20"/>
        </w:rPr>
        <w:t>部门公开表9</w:t>
      </w:r>
    </w:p>
    <w:p>
      <w:pPr>
        <w:widowControl/>
        <w:ind w:firstLine="3801" w:firstLineChars="1267"/>
        <w:rPr>
          <w:rFonts w:ascii="华文中宋" w:hAnsi="华文中宋" w:eastAsia="华文中宋" w:cs="宋体"/>
          <w:b/>
          <w:bCs/>
          <w:kern w:val="0"/>
          <w:sz w:val="30"/>
          <w:szCs w:val="30"/>
        </w:rPr>
      </w:pPr>
      <w:r>
        <w:rPr>
          <w:rFonts w:hint="eastAsia" w:ascii="华文中宋" w:hAnsi="华文中宋" w:eastAsia="华文中宋" w:cs="宋体"/>
          <w:b/>
          <w:bCs/>
          <w:kern w:val="0"/>
          <w:sz w:val="30"/>
          <w:szCs w:val="30"/>
          <w:lang w:eastAsia="zh-CN"/>
        </w:rPr>
        <w:t>中国致公党安庆市委员会2022</w:t>
      </w:r>
      <w:r>
        <w:rPr>
          <w:rFonts w:hint="eastAsia" w:ascii="华文中宋" w:hAnsi="华文中宋" w:eastAsia="华文中宋" w:cs="宋体"/>
          <w:b/>
          <w:bCs/>
          <w:kern w:val="0"/>
          <w:sz w:val="30"/>
          <w:szCs w:val="30"/>
        </w:rPr>
        <w:t>年项目支出表</w:t>
      </w:r>
    </w:p>
    <w:p>
      <w:pPr>
        <w:ind w:left="7400" w:hanging="7400" w:hangingChars="3700"/>
        <w:rPr>
          <w:rFonts w:ascii="宋体" w:hAnsi="宋体" w:cs="宋体"/>
          <w:kern w:val="0"/>
          <w:sz w:val="20"/>
          <w:szCs w:val="20"/>
        </w:rPr>
      </w:pPr>
      <w:r>
        <w:rPr>
          <w:rFonts w:hint="eastAsia" w:ascii="宋体" w:hAnsi="宋体" w:cs="宋体"/>
          <w:kern w:val="0"/>
          <w:sz w:val="20"/>
          <w:szCs w:val="20"/>
        </w:rPr>
        <w:t xml:space="preserve">                                                                                                                                单位：万元</w:t>
      </w:r>
    </w:p>
    <w:tbl>
      <w:tblPr>
        <w:tblStyle w:val="5"/>
        <w:tblW w:w="0" w:type="auto"/>
        <w:tblInd w:w="100" w:type="dxa"/>
        <w:tblLayout w:type="autofit"/>
        <w:tblCellMar>
          <w:top w:w="0" w:type="dxa"/>
          <w:left w:w="108" w:type="dxa"/>
          <w:bottom w:w="0" w:type="dxa"/>
          <w:right w:w="108" w:type="dxa"/>
        </w:tblCellMar>
      </w:tblPr>
      <w:tblGrid>
        <w:gridCol w:w="860"/>
        <w:gridCol w:w="2135"/>
        <w:gridCol w:w="1511"/>
        <w:gridCol w:w="716"/>
        <w:gridCol w:w="1118"/>
        <w:gridCol w:w="1157"/>
        <w:gridCol w:w="1276"/>
        <w:gridCol w:w="1036"/>
        <w:gridCol w:w="1156"/>
        <w:gridCol w:w="1276"/>
        <w:gridCol w:w="1276"/>
        <w:gridCol w:w="557"/>
      </w:tblGrid>
      <w:tr>
        <w:tblPrEx>
          <w:tblCellMar>
            <w:top w:w="0" w:type="dxa"/>
            <w:left w:w="108" w:type="dxa"/>
            <w:bottom w:w="0" w:type="dxa"/>
            <w:right w:w="108" w:type="dxa"/>
          </w:tblCellMar>
        </w:tblPrEx>
        <w:trPr>
          <w:trHeight w:val="1119" w:hRule="atLeast"/>
        </w:trPr>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类型</w:t>
            </w:r>
          </w:p>
        </w:tc>
        <w:tc>
          <w:tcPr>
            <w:tcW w:w="0" w:type="auto"/>
            <w:vMerge w:val="restart"/>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项目名称</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项目单位</w:t>
            </w:r>
          </w:p>
        </w:tc>
        <w:tc>
          <w:tcPr>
            <w:tcW w:w="0" w:type="auto"/>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0" w:type="auto"/>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本年财政拨款</w:t>
            </w:r>
          </w:p>
        </w:tc>
        <w:tc>
          <w:tcPr>
            <w:tcW w:w="0" w:type="auto"/>
            <w:gridSpan w:val="3"/>
            <w:tcBorders>
              <w:top w:val="single" w:color="auto" w:sz="4" w:space="0"/>
              <w:left w:val="nil"/>
              <w:bottom w:val="single" w:color="auto"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财政拨款结转结余</w:t>
            </w:r>
          </w:p>
        </w:tc>
        <w:tc>
          <w:tcPr>
            <w:tcW w:w="0" w:type="auto"/>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财政专户管理资金</w:t>
            </w:r>
          </w:p>
        </w:tc>
        <w:tc>
          <w:tcPr>
            <w:tcW w:w="0" w:type="auto"/>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单位</w:t>
            </w:r>
          </w:p>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资金</w:t>
            </w:r>
          </w:p>
        </w:tc>
      </w:tr>
      <w:tr>
        <w:tblPrEx>
          <w:tblCellMar>
            <w:top w:w="0" w:type="dxa"/>
            <w:left w:w="108" w:type="dxa"/>
            <w:bottom w:w="0" w:type="dxa"/>
            <w:right w:w="108" w:type="dxa"/>
          </w:tblCellMar>
        </w:tblPrEx>
        <w:trPr>
          <w:trHeight w:val="1119"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0" w:type="auto"/>
            <w:vMerge w:val="continue"/>
            <w:tcBorders>
              <w:top w:val="single" w:color="auto" w:sz="4" w:space="0"/>
              <w:left w:val="single" w:color="auto" w:sz="4" w:space="0"/>
              <w:bottom w:val="nil"/>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0" w:type="auto"/>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1118" w:type="dxa"/>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一般公共预算</w:t>
            </w:r>
          </w:p>
        </w:tc>
        <w:tc>
          <w:tcPr>
            <w:tcW w:w="1158" w:type="dxa"/>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政府性基金预算</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国有资本经营预算</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一般公共预算</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政府性基金预算</w:t>
            </w:r>
          </w:p>
        </w:tc>
        <w:tc>
          <w:tcPr>
            <w:tcW w:w="0" w:type="auto"/>
            <w:tcBorders>
              <w:top w:val="nil"/>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b/>
                <w:bCs/>
                <w:color w:val="000000"/>
                <w:kern w:val="0"/>
                <w:sz w:val="22"/>
              </w:rPr>
            </w:pPr>
            <w:r>
              <w:rPr>
                <w:rFonts w:hint="eastAsia" w:ascii="宋体" w:hAnsi="宋体" w:eastAsia="宋体" w:cs="宋体"/>
                <w:b/>
                <w:bCs/>
                <w:color w:val="000000"/>
                <w:kern w:val="0"/>
                <w:sz w:val="22"/>
              </w:rPr>
              <w:t>国有资本经营预算</w:t>
            </w:r>
          </w:p>
        </w:tc>
        <w:tc>
          <w:tcPr>
            <w:tcW w:w="0" w:type="auto"/>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c>
          <w:tcPr>
            <w:tcW w:w="0" w:type="auto"/>
            <w:vMerge w:val="continue"/>
            <w:tcBorders>
              <w:top w:val="single" w:color="auto" w:sz="4" w:space="0"/>
              <w:left w:val="single" w:color="auto" w:sz="4" w:space="0"/>
              <w:bottom w:val="single" w:color="000000"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b/>
                <w:bCs/>
                <w:color w:val="000000"/>
                <w:kern w:val="0"/>
                <w:sz w:val="22"/>
              </w:rPr>
            </w:pPr>
          </w:p>
        </w:tc>
      </w:tr>
      <w:tr>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特定目标类</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kern w:val="0"/>
                <w:sz w:val="22"/>
                <w:lang w:eastAsia="zh-CN"/>
              </w:rPr>
            </w:pPr>
            <w:r>
              <w:rPr>
                <w:rFonts w:hint="eastAsia" w:ascii="宋体" w:hAnsi="宋体" w:eastAsia="宋体" w:cs="宋体"/>
                <w:i w:val="0"/>
                <w:iCs w:val="0"/>
                <w:color w:val="000000"/>
                <w:kern w:val="0"/>
                <w:sz w:val="20"/>
                <w:szCs w:val="20"/>
                <w:u w:val="none"/>
                <w:lang w:val="en-US" w:eastAsia="zh-CN" w:bidi="ar"/>
              </w:rPr>
              <w:t>2022年民主党派基层组织换届经费</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中国致公党安庆市委员会</w:t>
            </w:r>
          </w:p>
        </w:tc>
        <w:tc>
          <w:tcPr>
            <w:tcW w:w="71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2.00</w:t>
            </w:r>
          </w:p>
        </w:tc>
        <w:tc>
          <w:tcPr>
            <w:tcW w:w="111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2.00</w:t>
            </w:r>
          </w:p>
        </w:tc>
        <w:tc>
          <w:tcPr>
            <w:tcW w:w="115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r>
      <w:tr>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特定目标类</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参政议政经费</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中国致公党安庆市委员会</w:t>
            </w:r>
          </w:p>
        </w:tc>
        <w:tc>
          <w:tcPr>
            <w:tcW w:w="71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7.90</w:t>
            </w:r>
          </w:p>
        </w:tc>
        <w:tc>
          <w:tcPr>
            <w:tcW w:w="11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000000"/>
                <w:kern w:val="0"/>
                <w:sz w:val="22"/>
              </w:rPr>
            </w:pPr>
            <w:r>
              <w:rPr>
                <w:rFonts w:hint="eastAsia" w:ascii="宋体" w:hAnsi="宋体" w:eastAsia="宋体" w:cs="宋体"/>
                <w:i w:val="0"/>
                <w:iCs w:val="0"/>
                <w:color w:val="000000"/>
                <w:kern w:val="0"/>
                <w:sz w:val="20"/>
                <w:szCs w:val="20"/>
                <w:u w:val="none"/>
                <w:lang w:val="en-US" w:eastAsia="zh-CN" w:bidi="ar"/>
              </w:rPr>
              <w:t>7.90</w:t>
            </w:r>
          </w:p>
        </w:tc>
        <w:tc>
          <w:tcPr>
            <w:tcW w:w="11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b/>
                <w:bCs/>
                <w:color w:val="000000"/>
                <w:kern w:val="0"/>
                <w:sz w:val="22"/>
              </w:rPr>
            </w:pPr>
            <w:r>
              <w:rPr>
                <w:rFonts w:hint="eastAsia" w:ascii="宋体" w:hAnsi="宋体" w:eastAsia="宋体" w:cs="宋体"/>
                <w:b/>
                <w:bCs/>
                <w:color w:val="000000"/>
                <w:kern w:val="0"/>
                <w:sz w:val="22"/>
              </w:rPr>
              <w:t>　</w:t>
            </w:r>
          </w:p>
        </w:tc>
      </w:tr>
      <w:tr>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特定目标类</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民主监督经费</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中国致公党安庆市委员会</w:t>
            </w:r>
          </w:p>
        </w:tc>
        <w:tc>
          <w:tcPr>
            <w:tcW w:w="71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5.00</w:t>
            </w:r>
          </w:p>
        </w:tc>
        <w:tc>
          <w:tcPr>
            <w:tcW w:w="11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5.00</w:t>
            </w:r>
          </w:p>
        </w:tc>
        <w:tc>
          <w:tcPr>
            <w:tcW w:w="11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919"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特定目标类</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庆祝致公党安庆市委成立十周年经费</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中国致公党安庆市委员会</w:t>
            </w:r>
          </w:p>
        </w:tc>
        <w:tc>
          <w:tcPr>
            <w:tcW w:w="71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5.00</w:t>
            </w:r>
          </w:p>
        </w:tc>
        <w:tc>
          <w:tcPr>
            <w:tcW w:w="11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5.00</w:t>
            </w:r>
          </w:p>
        </w:tc>
        <w:tc>
          <w:tcPr>
            <w:tcW w:w="11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51"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合计</w:t>
            </w:r>
          </w:p>
        </w:tc>
        <w:tc>
          <w:tcPr>
            <w:tcW w:w="0" w:type="auto"/>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000000"/>
                <w:kern w:val="0"/>
                <w:sz w:val="22"/>
              </w:rPr>
            </w:pPr>
          </w:p>
        </w:tc>
        <w:tc>
          <w:tcPr>
            <w:tcW w:w="0" w:type="auto"/>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000000"/>
                <w:kern w:val="0"/>
                <w:sz w:val="22"/>
              </w:rPr>
            </w:pPr>
          </w:p>
        </w:tc>
        <w:tc>
          <w:tcPr>
            <w:tcW w:w="71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19.90</w:t>
            </w:r>
          </w:p>
        </w:tc>
        <w:tc>
          <w:tcPr>
            <w:tcW w:w="111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000000"/>
                <w:kern w:val="0"/>
                <w:sz w:val="22"/>
              </w:rPr>
            </w:pPr>
            <w:r>
              <w:rPr>
                <w:rFonts w:hint="eastAsia" w:ascii="宋体" w:hAnsi="宋体" w:eastAsia="宋体" w:cs="宋体"/>
                <w:i w:val="0"/>
                <w:iCs w:val="0"/>
                <w:color w:val="000000"/>
                <w:kern w:val="0"/>
                <w:sz w:val="20"/>
                <w:szCs w:val="20"/>
                <w:u w:val="none"/>
                <w:lang w:val="en-US" w:eastAsia="zh-CN" w:bidi="ar"/>
              </w:rPr>
              <w:t>19.90</w:t>
            </w:r>
          </w:p>
        </w:tc>
        <w:tc>
          <w:tcPr>
            <w:tcW w:w="115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c>
          <w:tcPr>
            <w:tcW w:w="0" w:type="auto"/>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宋体"/>
                <w:color w:val="000000"/>
                <w:kern w:val="0"/>
                <w:sz w:val="22"/>
              </w:rPr>
            </w:pPr>
            <w:r>
              <w:rPr>
                <w:rFonts w:hint="eastAsia" w:ascii="宋体" w:hAnsi="宋体" w:eastAsia="宋体" w:cs="宋体"/>
                <w:color w:val="000000"/>
                <w:kern w:val="0"/>
                <w:sz w:val="22"/>
              </w:rPr>
              <w:t>　</w:t>
            </w:r>
          </w:p>
        </w:tc>
      </w:tr>
    </w:tbl>
    <w:p>
      <w:pPr>
        <w:rPr>
          <w:rFonts w:ascii="宋体" w:hAnsi="宋体" w:cs="宋体"/>
          <w:color w:val="000000"/>
          <w:kern w:val="0"/>
          <w:sz w:val="22"/>
        </w:rPr>
      </w:pPr>
    </w:p>
    <w:p>
      <w:pPr>
        <w:rPr>
          <w:rFonts w:ascii="宋体" w:hAnsi="宋体" w:cs="宋体"/>
          <w:color w:val="000000"/>
          <w:kern w:val="0"/>
          <w:sz w:val="22"/>
        </w:rPr>
        <w:sectPr>
          <w:pgSz w:w="16838" w:h="11906" w:orient="landscape"/>
          <w:pgMar w:top="1797" w:right="1440" w:bottom="1797" w:left="1440" w:header="851" w:footer="992" w:gutter="0"/>
          <w:cols w:space="425" w:num="1"/>
          <w:docGrid w:type="linesAndChars" w:linePitch="312" w:charSpace="0"/>
        </w:sectPr>
      </w:pPr>
    </w:p>
    <w:p>
      <w:pPr>
        <w:pStyle w:val="4"/>
        <w:wordWrap w:val="0"/>
        <w:adjustRightInd w:val="0"/>
        <w:snapToGrid w:val="0"/>
        <w:spacing w:before="0" w:beforeAutospacing="0" w:after="0" w:afterAutospacing="0" w:line="360" w:lineRule="auto"/>
        <w:jc w:val="right"/>
        <w:rPr>
          <w:sz w:val="20"/>
          <w:szCs w:val="20"/>
        </w:rPr>
      </w:pPr>
      <w:r>
        <w:rPr>
          <w:rFonts w:hint="eastAsia"/>
          <w:sz w:val="20"/>
          <w:szCs w:val="20"/>
        </w:rPr>
        <w:t xml:space="preserve">       部门公开表10</w:t>
      </w:r>
    </w:p>
    <w:tbl>
      <w:tblPr>
        <w:tblStyle w:val="5"/>
        <w:tblW w:w="8880" w:type="dxa"/>
        <w:jc w:val="center"/>
        <w:tblLayout w:type="fixed"/>
        <w:tblCellMar>
          <w:top w:w="0" w:type="dxa"/>
          <w:left w:w="108" w:type="dxa"/>
          <w:bottom w:w="0" w:type="dxa"/>
          <w:right w:w="108" w:type="dxa"/>
        </w:tblCellMar>
      </w:tblPr>
      <w:tblGrid>
        <w:gridCol w:w="1200"/>
        <w:gridCol w:w="1150"/>
        <w:gridCol w:w="900"/>
        <w:gridCol w:w="1034"/>
        <w:gridCol w:w="1066"/>
        <w:gridCol w:w="1117"/>
        <w:gridCol w:w="1148"/>
        <w:gridCol w:w="1265"/>
      </w:tblGrid>
      <w:tr>
        <w:tblPrEx>
          <w:tblCellMar>
            <w:top w:w="0" w:type="dxa"/>
            <w:left w:w="108" w:type="dxa"/>
            <w:bottom w:w="0" w:type="dxa"/>
            <w:right w:w="108" w:type="dxa"/>
          </w:tblCellMar>
        </w:tblPrEx>
        <w:trPr>
          <w:trHeight w:val="1044" w:hRule="atLeast"/>
          <w:jc w:val="center"/>
        </w:trPr>
        <w:tc>
          <w:tcPr>
            <w:tcW w:w="8880" w:type="dxa"/>
            <w:gridSpan w:val="8"/>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华文中宋" w:hAnsi="华文中宋" w:eastAsia="华文中宋" w:cs="宋体"/>
                <w:b/>
                <w:bCs/>
                <w:kern w:val="0"/>
                <w:sz w:val="32"/>
                <w:szCs w:val="32"/>
              </w:rPr>
            </w:pPr>
            <w:r>
              <w:rPr>
                <w:rFonts w:hint="eastAsia" w:ascii="华文中宋" w:hAnsi="华文中宋" w:eastAsia="华文中宋" w:cs="宋体"/>
                <w:b/>
                <w:bCs/>
                <w:kern w:val="0"/>
                <w:sz w:val="32"/>
                <w:szCs w:val="32"/>
                <w:lang w:eastAsia="zh-CN"/>
              </w:rPr>
              <w:t>中国致公党安庆市委员会2022</w:t>
            </w:r>
            <w:r>
              <w:rPr>
                <w:rFonts w:hint="eastAsia" w:ascii="华文中宋" w:hAnsi="华文中宋" w:eastAsia="华文中宋" w:cs="宋体"/>
                <w:b/>
                <w:bCs/>
                <w:kern w:val="0"/>
                <w:sz w:val="32"/>
                <w:szCs w:val="32"/>
              </w:rPr>
              <w:t>年政府采购支出表</w:t>
            </w:r>
          </w:p>
          <w:p>
            <w:pPr>
              <w:keepNext w:val="0"/>
              <w:keepLines w:val="0"/>
              <w:widowControl/>
              <w:suppressLineNumbers w:val="0"/>
              <w:spacing w:before="0" w:beforeAutospacing="0" w:after="0" w:afterAutospacing="0"/>
              <w:ind w:left="0" w:right="0"/>
              <w:jc w:val="center"/>
              <w:rPr>
                <w:rFonts w:hint="default" w:ascii="宋体" w:hAnsi="宋体" w:cs="宋体"/>
                <w:b/>
                <w:bCs/>
                <w:kern w:val="0"/>
                <w:sz w:val="32"/>
                <w:szCs w:val="32"/>
              </w:rPr>
            </w:pPr>
            <w:r>
              <w:rPr>
                <w:rFonts w:hint="eastAsia" w:ascii="宋体" w:hAnsi="宋体" w:cs="宋体"/>
                <w:kern w:val="0"/>
                <w:sz w:val="20"/>
                <w:szCs w:val="20"/>
              </w:rPr>
              <w:t xml:space="preserve">                                                                             单位：万元</w:t>
            </w:r>
          </w:p>
        </w:tc>
      </w:tr>
      <w:tr>
        <w:tblPrEx>
          <w:tblCellMar>
            <w:top w:w="0" w:type="dxa"/>
            <w:left w:w="108" w:type="dxa"/>
            <w:bottom w:w="0" w:type="dxa"/>
            <w:right w:w="108" w:type="dxa"/>
          </w:tblCellMar>
        </w:tblPrEx>
        <w:trPr>
          <w:trHeight w:val="983" w:hRule="atLeast"/>
          <w:jc w:val="center"/>
        </w:trPr>
        <w:tc>
          <w:tcPr>
            <w:tcW w:w="1200" w:type="dxa"/>
            <w:tcBorders>
              <w:top w:val="single" w:color="auto" w:sz="4" w:space="0"/>
              <w:left w:val="single" w:color="auto" w:sz="4" w:space="0"/>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项目名称</w:t>
            </w:r>
          </w:p>
        </w:tc>
        <w:tc>
          <w:tcPr>
            <w:tcW w:w="1150"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政府采购</w:t>
            </w:r>
            <w:r>
              <w:rPr>
                <w:rFonts w:hint="eastAsia" w:ascii="宋体" w:hAnsi="宋体" w:eastAsia="宋体" w:cs="Arial"/>
                <w:b/>
                <w:bCs/>
                <w:kern w:val="0"/>
                <w:sz w:val="20"/>
                <w:szCs w:val="20"/>
                <w:lang w:eastAsia="zh-CN"/>
              </w:rPr>
              <w:t>品目</w:t>
            </w:r>
          </w:p>
        </w:tc>
        <w:tc>
          <w:tcPr>
            <w:tcW w:w="900"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合计</w:t>
            </w:r>
          </w:p>
        </w:tc>
        <w:tc>
          <w:tcPr>
            <w:tcW w:w="1034"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一般公共预算</w:t>
            </w:r>
          </w:p>
        </w:tc>
        <w:tc>
          <w:tcPr>
            <w:tcW w:w="1066"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政府性基金预算</w:t>
            </w:r>
          </w:p>
        </w:tc>
        <w:tc>
          <w:tcPr>
            <w:tcW w:w="1117"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国有资本经营预算</w:t>
            </w:r>
          </w:p>
        </w:tc>
        <w:tc>
          <w:tcPr>
            <w:tcW w:w="1148"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财政专户管理资金</w:t>
            </w:r>
          </w:p>
        </w:tc>
        <w:tc>
          <w:tcPr>
            <w:tcW w:w="1265" w:type="dxa"/>
            <w:tcBorders>
              <w:top w:val="single" w:color="auto" w:sz="4" w:space="0"/>
              <w:left w:val="nil"/>
              <w:bottom w:val="nil"/>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default" w:ascii="宋体" w:hAnsi="宋体" w:eastAsia="宋体" w:cs="Arial"/>
                <w:b/>
                <w:bCs/>
                <w:kern w:val="0"/>
                <w:sz w:val="20"/>
                <w:szCs w:val="20"/>
              </w:rPr>
            </w:pPr>
            <w:r>
              <w:rPr>
                <w:rFonts w:hint="eastAsia" w:ascii="宋体" w:hAnsi="宋体" w:eastAsia="宋体" w:cs="Arial"/>
                <w:b/>
                <w:bCs/>
                <w:kern w:val="0"/>
                <w:sz w:val="20"/>
                <w:szCs w:val="20"/>
              </w:rPr>
              <w:t>单位资金</w:t>
            </w:r>
          </w:p>
        </w:tc>
      </w:tr>
      <w:tr>
        <w:tblPrEx>
          <w:tblCellMar>
            <w:top w:w="0" w:type="dxa"/>
            <w:left w:w="108" w:type="dxa"/>
            <w:bottom w:w="0" w:type="dxa"/>
            <w:right w:w="108" w:type="dxa"/>
          </w:tblCellMar>
        </w:tblPrEx>
        <w:trPr>
          <w:trHeight w:val="613"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5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rPr>
            </w:pP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rPr>
            </w:pP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rPr>
            </w:pP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eastAsia" w:ascii="宋体" w:hAnsi="宋体" w:eastAsia="宋体" w:cs="Arial"/>
                <w:kern w:val="0"/>
                <w:sz w:val="20"/>
                <w:szCs w:val="20"/>
              </w:rPr>
            </w:pP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eastAsia" w:ascii="宋体" w:hAnsi="宋体" w:eastAsia="宋体" w:cs="Arial"/>
                <w:kern w:val="0"/>
                <w:sz w:val="20"/>
                <w:szCs w:val="20"/>
              </w:rPr>
            </w:pP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r>
        <w:tblPrEx>
          <w:tblCellMar>
            <w:top w:w="0" w:type="dxa"/>
            <w:left w:w="108" w:type="dxa"/>
            <w:bottom w:w="0" w:type="dxa"/>
            <w:right w:w="108" w:type="dxa"/>
          </w:tblCellMar>
        </w:tblPrEx>
        <w:trPr>
          <w:trHeight w:val="613"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r>
        <w:tblPrEx>
          <w:tblCellMar>
            <w:top w:w="0" w:type="dxa"/>
            <w:left w:w="108" w:type="dxa"/>
            <w:bottom w:w="0" w:type="dxa"/>
            <w:right w:w="108" w:type="dxa"/>
          </w:tblCellMar>
        </w:tblPrEx>
        <w:trPr>
          <w:trHeight w:val="624" w:hRule="atLeast"/>
          <w:jc w:val="center"/>
        </w:trPr>
        <w:tc>
          <w:tcPr>
            <w:tcW w:w="1200"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r>
              <w:rPr>
                <w:rFonts w:hint="eastAsia" w:ascii="宋体" w:hAnsi="宋体" w:eastAsia="宋体" w:cs="Arial"/>
                <w:kern w:val="0"/>
                <w:sz w:val="20"/>
                <w:szCs w:val="20"/>
                <w:lang w:val="en-US" w:eastAsia="zh-CN"/>
              </w:rPr>
              <w:t xml:space="preserve"> </w:t>
            </w:r>
            <w:r>
              <w:rPr>
                <w:rFonts w:hint="eastAsia" w:ascii="宋体" w:hAnsi="宋体" w:eastAsia="宋体" w:cs="宋体"/>
                <w:b/>
                <w:i w:val="0"/>
                <w:color w:val="000000"/>
                <w:sz w:val="20"/>
                <w:szCs w:val="20"/>
                <w:u w:val="none"/>
                <w:lang w:eastAsia="zh-CN"/>
              </w:rPr>
              <w:t>合</w:t>
            </w:r>
            <w:r>
              <w:rPr>
                <w:rFonts w:hint="eastAsia" w:ascii="宋体" w:hAnsi="宋体" w:eastAsia="宋体" w:cs="宋体"/>
                <w:b/>
                <w:i w:val="0"/>
                <w:color w:val="000000"/>
                <w:sz w:val="20"/>
                <w:szCs w:val="20"/>
                <w:u w:val="none"/>
                <w:lang w:val="en-US" w:eastAsia="zh-CN"/>
              </w:rPr>
              <w:t xml:space="preserve"> </w:t>
            </w:r>
            <w:r>
              <w:rPr>
                <w:rFonts w:hint="eastAsia" w:ascii="宋体" w:hAnsi="宋体" w:eastAsia="宋体" w:cs="宋体"/>
                <w:b/>
                <w:i w:val="0"/>
                <w:color w:val="000000"/>
                <w:sz w:val="20"/>
                <w:szCs w:val="20"/>
                <w:u w:val="none"/>
                <w:lang w:eastAsia="zh-CN"/>
              </w:rPr>
              <w:t>计</w:t>
            </w:r>
          </w:p>
        </w:tc>
        <w:tc>
          <w:tcPr>
            <w:tcW w:w="11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9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3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06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1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148"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c>
          <w:tcPr>
            <w:tcW w:w="126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right"/>
              <w:rPr>
                <w:rFonts w:hint="default" w:ascii="宋体" w:hAnsi="宋体" w:eastAsia="宋体" w:cs="Arial"/>
                <w:kern w:val="0"/>
                <w:sz w:val="20"/>
                <w:szCs w:val="20"/>
              </w:rPr>
            </w:pPr>
            <w:r>
              <w:rPr>
                <w:rFonts w:hint="eastAsia" w:ascii="宋体" w:hAnsi="宋体" w:eastAsia="宋体" w:cs="Arial"/>
                <w:kern w:val="0"/>
                <w:sz w:val="20"/>
                <w:szCs w:val="20"/>
              </w:rPr>
              <w:t>　</w:t>
            </w:r>
          </w:p>
        </w:tc>
      </w:tr>
    </w:tbl>
    <w:p>
      <w:pPr>
        <w:pStyle w:val="4"/>
        <w:adjustRightInd w:val="0"/>
        <w:snapToGrid w:val="0"/>
        <w:spacing w:before="0" w:beforeAutospacing="0" w:after="0" w:afterAutospacing="0" w:line="240" w:lineRule="auto"/>
        <w:jc w:val="both"/>
      </w:pPr>
      <w:r>
        <w:rPr>
          <w:rFonts w:hint="eastAsia"/>
        </w:rPr>
        <w:t>注：</w:t>
      </w:r>
      <w:r>
        <w:rPr>
          <w:rFonts w:hint="eastAsia"/>
          <w:lang w:eastAsia="zh-CN"/>
        </w:rPr>
        <w:t>中国致公党安庆市委员会</w:t>
      </w:r>
      <w:r>
        <w:rPr>
          <w:rFonts w:hint="eastAsia"/>
        </w:rPr>
        <w:t>没有使用一般公共预算拨款、政府性基金预算拨款、国有资本经营预算拨款、财政专户管理资金和单位资金安排的政府采购支出，故本表无数据。</w:t>
      </w:r>
    </w:p>
    <w:p/>
    <w:p/>
    <w:p/>
    <w:p/>
    <w:p/>
    <w:p/>
    <w:p/>
    <w:p/>
    <w:p/>
    <w:p/>
    <w:p>
      <w:pPr>
        <w:sectPr>
          <w:pgSz w:w="11906" w:h="16838"/>
          <w:pgMar w:top="1440" w:right="1797" w:bottom="1440" w:left="1797" w:header="851" w:footer="992" w:gutter="0"/>
          <w:cols w:space="425" w:num="1"/>
          <w:docGrid w:type="lines" w:linePitch="312" w:charSpace="0"/>
        </w:sectPr>
      </w:pPr>
    </w:p>
    <w:p>
      <w:pPr>
        <w:pStyle w:val="4"/>
        <w:wordWrap w:val="0"/>
        <w:adjustRightInd w:val="0"/>
        <w:snapToGrid w:val="0"/>
        <w:spacing w:before="0" w:beforeAutospacing="0" w:after="0" w:afterAutospacing="0" w:line="360" w:lineRule="auto"/>
        <w:ind w:firstLine="12400" w:firstLineChars="6200"/>
        <w:jc w:val="both"/>
        <w:rPr>
          <w:sz w:val="20"/>
          <w:szCs w:val="20"/>
        </w:rPr>
      </w:pPr>
      <w:r>
        <w:rPr>
          <w:rFonts w:hint="eastAsia"/>
          <w:sz w:val="20"/>
          <w:szCs w:val="20"/>
          <w:lang w:val="en-US" w:eastAsia="zh-CN"/>
        </w:rPr>
        <w:t xml:space="preserve"> </w:t>
      </w:r>
      <w:r>
        <w:rPr>
          <w:rFonts w:hint="eastAsia"/>
          <w:sz w:val="20"/>
          <w:szCs w:val="20"/>
        </w:rPr>
        <w:t>部门公开表11</w:t>
      </w:r>
    </w:p>
    <w:tbl>
      <w:tblPr>
        <w:tblStyle w:val="5"/>
        <w:tblW w:w="13815" w:type="dxa"/>
        <w:jc w:val="center"/>
        <w:tblLayout w:type="fixed"/>
        <w:tblCellMar>
          <w:top w:w="0" w:type="dxa"/>
          <w:left w:w="108" w:type="dxa"/>
          <w:bottom w:w="0" w:type="dxa"/>
          <w:right w:w="108" w:type="dxa"/>
        </w:tblCellMar>
      </w:tblPr>
      <w:tblGrid>
        <w:gridCol w:w="2084"/>
        <w:gridCol w:w="1963"/>
        <w:gridCol w:w="1793"/>
        <w:gridCol w:w="1943"/>
        <w:gridCol w:w="2496"/>
        <w:gridCol w:w="1693"/>
        <w:gridCol w:w="1830"/>
        <w:gridCol w:w="13"/>
      </w:tblGrid>
      <w:tr>
        <w:tblPrEx>
          <w:tblCellMar>
            <w:top w:w="0" w:type="dxa"/>
            <w:left w:w="108" w:type="dxa"/>
            <w:bottom w:w="0" w:type="dxa"/>
            <w:right w:w="108" w:type="dxa"/>
          </w:tblCellMar>
        </w:tblPrEx>
        <w:trPr>
          <w:gridAfter w:val="1"/>
          <w:wAfter w:w="13" w:type="dxa"/>
          <w:trHeight w:val="1238" w:hRule="atLeast"/>
          <w:jc w:val="center"/>
        </w:trPr>
        <w:tc>
          <w:tcPr>
            <w:tcW w:w="13802" w:type="dxa"/>
            <w:gridSpan w:val="7"/>
            <w:tcBorders>
              <w:top w:val="nil"/>
              <w:left w:val="nil"/>
              <w:bottom w:val="nil"/>
              <w:right w:val="nil"/>
            </w:tcBorders>
            <w:vAlign w:val="center"/>
          </w:tcPr>
          <w:p>
            <w:pPr>
              <w:keepNext w:val="0"/>
              <w:keepLines w:val="0"/>
              <w:widowControl/>
              <w:suppressLineNumbers w:val="0"/>
              <w:spacing w:before="0" w:beforeAutospacing="0" w:after="0" w:afterAutospacing="0"/>
              <w:ind w:left="0" w:right="0"/>
              <w:jc w:val="center"/>
              <w:rPr>
                <w:rFonts w:hint="default" w:ascii="华文中宋" w:hAnsi="华文中宋" w:eastAsia="华文中宋" w:cs="宋体"/>
                <w:b/>
                <w:bCs/>
                <w:kern w:val="0"/>
                <w:sz w:val="32"/>
                <w:szCs w:val="32"/>
              </w:rPr>
            </w:pPr>
            <w:r>
              <w:rPr>
                <w:rFonts w:hint="eastAsia" w:ascii="华文中宋" w:hAnsi="华文中宋" w:eastAsia="华文中宋" w:cs="宋体"/>
                <w:b/>
                <w:bCs/>
                <w:kern w:val="0"/>
                <w:sz w:val="32"/>
                <w:szCs w:val="32"/>
                <w:lang w:eastAsia="zh-CN"/>
              </w:rPr>
              <w:t>中国致公党安庆市委员会2022</w:t>
            </w:r>
            <w:r>
              <w:rPr>
                <w:rFonts w:hint="eastAsia" w:ascii="华文中宋" w:hAnsi="华文中宋" w:eastAsia="华文中宋" w:cs="宋体"/>
                <w:b/>
                <w:bCs/>
                <w:kern w:val="0"/>
                <w:sz w:val="32"/>
                <w:szCs w:val="32"/>
              </w:rPr>
              <w:t>年政府购买服务支出表</w:t>
            </w:r>
          </w:p>
          <w:p>
            <w:pPr>
              <w:keepNext w:val="0"/>
              <w:keepLines w:val="0"/>
              <w:widowControl/>
              <w:suppressLineNumbers w:val="0"/>
              <w:spacing w:before="0" w:beforeAutospacing="0" w:after="0" w:afterAutospacing="0"/>
              <w:ind w:left="0" w:right="0"/>
              <w:jc w:val="center"/>
              <w:rPr>
                <w:rFonts w:hint="default" w:ascii="宋体" w:hAnsi="宋体" w:cs="宋体"/>
                <w:kern w:val="0"/>
                <w:sz w:val="20"/>
                <w:szCs w:val="20"/>
              </w:rPr>
            </w:pPr>
            <w:r>
              <w:rPr>
                <w:rFonts w:hint="eastAsia" w:ascii="宋体" w:hAnsi="宋体" w:cs="宋体"/>
                <w:kern w:val="0"/>
                <w:sz w:val="20"/>
                <w:szCs w:val="20"/>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005" w:hRule="atLeast"/>
          <w:jc w:val="center"/>
        </w:trPr>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项目名称</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一级目录名称</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二级目录名称</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三级目录名称</w:t>
            </w: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政府购买服务内容</w:t>
            </w: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购买数量</w:t>
            </w: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购买金额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7" w:hRule="atLeast"/>
          <w:jc w:val="center"/>
        </w:trPr>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0"/>
                <w:szCs w:val="20"/>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left"/>
              <w:rPr>
                <w:rFonts w:hint="eastAsia" w:ascii="宋体" w:hAnsi="宋体" w:eastAsia="宋体" w:cs="宋体"/>
                <w:i w:val="0"/>
                <w:color w:val="000000"/>
                <w:sz w:val="20"/>
                <w:szCs w:val="20"/>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right"/>
              <w:rPr>
                <w:rFonts w:hint="eastAsia" w:ascii="宋体" w:hAnsi="宋体" w:eastAsia="宋体" w:cs="宋体"/>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7" w:hRule="atLeast"/>
          <w:jc w:val="center"/>
        </w:trPr>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0"/>
                <w:szCs w:val="20"/>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787" w:hRule="atLeast"/>
          <w:jc w:val="center"/>
        </w:trPr>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0"/>
                <w:szCs w:val="20"/>
                <w:u w:val="none"/>
              </w:rPr>
            </w:pP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00" w:hRule="atLeast"/>
          <w:jc w:val="center"/>
        </w:trPr>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i w:val="0"/>
                <w:color w:val="000000"/>
                <w:sz w:val="20"/>
                <w:szCs w:val="20"/>
                <w:u w:val="none"/>
                <w:lang w:eastAsia="zh-CN"/>
              </w:rPr>
            </w:pPr>
            <w:r>
              <w:rPr>
                <w:rFonts w:hint="eastAsia" w:ascii="宋体" w:hAnsi="宋体" w:eastAsia="宋体" w:cs="宋体"/>
                <w:b/>
                <w:i w:val="0"/>
                <w:color w:val="000000"/>
                <w:sz w:val="20"/>
                <w:szCs w:val="20"/>
                <w:u w:val="none"/>
                <w:lang w:eastAsia="zh-CN"/>
              </w:rPr>
              <w:t>合</w:t>
            </w:r>
            <w:r>
              <w:rPr>
                <w:rFonts w:hint="eastAsia" w:ascii="宋体" w:hAnsi="宋体" w:eastAsia="宋体" w:cs="宋体"/>
                <w:b/>
                <w:i w:val="0"/>
                <w:color w:val="000000"/>
                <w:sz w:val="20"/>
                <w:szCs w:val="20"/>
                <w:u w:val="none"/>
                <w:lang w:val="en-US" w:eastAsia="zh-CN"/>
              </w:rPr>
              <w:t xml:space="preserve"> </w:t>
            </w:r>
            <w:r>
              <w:rPr>
                <w:rFonts w:hint="eastAsia" w:ascii="宋体" w:hAnsi="宋体" w:eastAsia="宋体" w:cs="宋体"/>
                <w:b/>
                <w:i w:val="0"/>
                <w:color w:val="000000"/>
                <w:sz w:val="20"/>
                <w:szCs w:val="20"/>
                <w:u w:val="none"/>
                <w:lang w:eastAsia="zh-CN"/>
              </w:rPr>
              <w:t>计</w:t>
            </w:r>
          </w:p>
        </w:tc>
        <w:tc>
          <w:tcPr>
            <w:tcW w:w="196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249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693"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c>
          <w:tcPr>
            <w:tcW w:w="1843"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suppressLineNumbers w:val="0"/>
              <w:spacing w:before="0" w:beforeAutospacing="0" w:after="0" w:afterAutospacing="0"/>
              <w:ind w:left="0" w:right="0"/>
              <w:rPr>
                <w:rFonts w:hint="eastAsia" w:ascii="宋体" w:hAnsi="宋体" w:eastAsia="宋体" w:cs="宋体"/>
                <w:i w:val="0"/>
                <w:color w:val="000000"/>
                <w:sz w:val="18"/>
                <w:szCs w:val="18"/>
                <w:u w:val="none"/>
              </w:rPr>
            </w:pPr>
          </w:p>
        </w:tc>
      </w:tr>
    </w:tbl>
    <w:p>
      <w:pPr>
        <w:pStyle w:val="4"/>
        <w:adjustRightInd w:val="0"/>
        <w:snapToGrid w:val="0"/>
        <w:spacing w:before="0" w:beforeAutospacing="0" w:after="0" w:afterAutospacing="0" w:line="400" w:lineRule="exact"/>
        <w:jc w:val="both"/>
        <w:rPr>
          <w:rFonts w:hint="eastAsia"/>
        </w:rPr>
      </w:pPr>
      <w:r>
        <w:rPr>
          <w:rFonts w:hint="eastAsia"/>
        </w:rPr>
        <w:t>注：</w:t>
      </w:r>
      <w:r>
        <w:rPr>
          <w:rFonts w:hint="eastAsia"/>
          <w:lang w:eastAsia="zh-CN"/>
        </w:rPr>
        <w:t>中国致公党安庆市委员会</w:t>
      </w:r>
      <w:r>
        <w:rPr>
          <w:rFonts w:hint="eastAsia"/>
        </w:rPr>
        <w:t>没有安排政府购买服务支出，故本表无数据。</w:t>
      </w:r>
    </w:p>
    <w:p>
      <w:pPr>
        <w:pStyle w:val="4"/>
        <w:adjustRightInd w:val="0"/>
        <w:snapToGrid w:val="0"/>
        <w:spacing w:before="0" w:beforeAutospacing="0" w:after="0" w:afterAutospacing="0" w:line="400" w:lineRule="exact"/>
        <w:jc w:val="both"/>
        <w:rPr>
          <w:rFonts w:hint="eastAsia"/>
        </w:rPr>
      </w:pPr>
    </w:p>
    <w:p>
      <w:pPr>
        <w:pStyle w:val="4"/>
        <w:adjustRightInd w:val="0"/>
        <w:snapToGrid w:val="0"/>
        <w:spacing w:before="0" w:beforeAutospacing="0" w:after="0" w:afterAutospacing="0" w:line="400" w:lineRule="exact"/>
        <w:ind w:firstLine="900" w:firstLineChars="250"/>
        <w:jc w:val="both"/>
        <w:rPr>
          <w:rFonts w:ascii="黑体" w:hAnsi="黑体" w:eastAsia="黑体"/>
          <w:bCs/>
          <w:sz w:val="36"/>
          <w:szCs w:val="36"/>
        </w:rPr>
        <w:sectPr>
          <w:pgSz w:w="16838" w:h="11906" w:orient="landscape"/>
          <w:pgMar w:top="1797" w:right="1440" w:bottom="1797" w:left="1440" w:header="851" w:footer="992" w:gutter="0"/>
          <w:cols w:space="425" w:num="1"/>
          <w:docGrid w:type="linesAndChars" w:linePitch="312" w:charSpace="0"/>
        </w:sectPr>
      </w:pPr>
    </w:p>
    <w:p>
      <w:pPr>
        <w:pStyle w:val="4"/>
        <w:adjustRightInd w:val="0"/>
        <w:snapToGrid w:val="0"/>
        <w:spacing w:before="0" w:beforeAutospacing="0" w:after="0" w:afterAutospacing="0" w:line="600" w:lineRule="exact"/>
        <w:jc w:val="center"/>
        <w:rPr>
          <w:rFonts w:ascii="黑体" w:hAnsi="黑体" w:eastAsia="黑体"/>
          <w:bCs/>
          <w:sz w:val="36"/>
          <w:szCs w:val="36"/>
        </w:rPr>
      </w:pPr>
      <w:r>
        <w:rPr>
          <w:rFonts w:hint="eastAsia" w:ascii="黑体" w:hAnsi="黑体" w:eastAsia="黑体"/>
          <w:bCs/>
          <w:sz w:val="36"/>
          <w:szCs w:val="36"/>
        </w:rPr>
        <w:t xml:space="preserve">第三部分 </w:t>
      </w:r>
      <w:r>
        <w:rPr>
          <w:rFonts w:hint="eastAsia" w:ascii="黑体" w:hAnsi="黑体" w:eastAsia="黑体"/>
          <w:bCs/>
          <w:sz w:val="36"/>
          <w:szCs w:val="36"/>
          <w:lang w:eastAsia="zh-CN"/>
        </w:rPr>
        <w:t>2022</w:t>
      </w:r>
      <w:r>
        <w:rPr>
          <w:rFonts w:hint="eastAsia" w:ascii="黑体" w:hAnsi="黑体" w:eastAsia="黑体"/>
          <w:bCs/>
          <w:sz w:val="36"/>
          <w:szCs w:val="36"/>
        </w:rPr>
        <w:t>年部门预算情况说明</w:t>
      </w:r>
    </w:p>
    <w:p>
      <w:pPr>
        <w:pStyle w:val="4"/>
        <w:adjustRightInd w:val="0"/>
        <w:snapToGrid w:val="0"/>
        <w:spacing w:before="0" w:beforeAutospacing="0" w:after="0" w:afterAutospacing="0" w:line="600" w:lineRule="exact"/>
        <w:rPr>
          <w:rFonts w:ascii="黑体" w:hAnsi="黑体" w:eastAsia="黑体"/>
          <w:bCs/>
          <w:sz w:val="32"/>
          <w:szCs w:val="32"/>
        </w:rPr>
      </w:pPr>
    </w:p>
    <w:p>
      <w:pPr>
        <w:pStyle w:val="4"/>
        <w:adjustRightInd w:val="0"/>
        <w:snapToGrid w:val="0"/>
        <w:spacing w:before="0" w:beforeAutospacing="0" w:after="0" w:afterAutospacing="0" w:line="600" w:lineRule="exact"/>
        <w:ind w:firstLine="640" w:firstLineChars="200"/>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一、关于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年收支总表的说明</w:t>
      </w:r>
    </w:p>
    <w:p>
      <w:pPr>
        <w:pStyle w:val="4"/>
        <w:adjustRightInd w:val="0"/>
        <w:snapToGrid w:val="0"/>
        <w:spacing w:before="0" w:beforeAutospacing="0" w:after="0" w:afterAutospacing="0" w:line="600" w:lineRule="exact"/>
        <w:ind w:firstLine="627" w:firstLineChars="196"/>
        <w:jc w:val="both"/>
        <w:rPr>
          <w:rFonts w:ascii="仿宋_GB2312" w:hAnsi="仿宋" w:eastAsia="仿宋_GB2312"/>
          <w:sz w:val="32"/>
          <w:szCs w:val="32"/>
        </w:rPr>
      </w:pPr>
      <w:r>
        <w:rPr>
          <w:rFonts w:hint="eastAsia" w:ascii="仿宋_GB2312" w:hAnsi="仿宋" w:eastAsia="仿宋_GB2312"/>
          <w:sz w:val="32"/>
          <w:szCs w:val="32"/>
        </w:rPr>
        <w:t>按照综合预算的原则，</w:t>
      </w:r>
      <w:r>
        <w:rPr>
          <w:rFonts w:hint="eastAsia" w:ascii="仿宋_GB2312" w:hAnsi="仿宋" w:eastAsia="仿宋_GB2312"/>
          <w:sz w:val="32"/>
          <w:szCs w:val="32"/>
          <w:lang w:eastAsia="zh-CN"/>
        </w:rPr>
        <w:t>中国致公党安庆市委员会</w:t>
      </w:r>
      <w:r>
        <w:rPr>
          <w:rFonts w:hint="eastAsia" w:ascii="仿宋_GB2312" w:hAnsi="仿宋" w:eastAsia="仿宋_GB2312"/>
          <w:sz w:val="32"/>
          <w:szCs w:val="32"/>
        </w:rPr>
        <w:t>所有收入和支出均纳入部门预算管理。</w:t>
      </w:r>
      <w:r>
        <w:rPr>
          <w:rFonts w:hint="eastAsia" w:ascii="仿宋_GB2312" w:hAnsi="仿宋" w:eastAsia="仿宋_GB2312"/>
          <w:sz w:val="32"/>
          <w:szCs w:val="32"/>
          <w:lang w:eastAsia="zh-CN"/>
        </w:rPr>
        <w:t>中国致公党安庆市委员会2022</w:t>
      </w:r>
      <w:r>
        <w:rPr>
          <w:rFonts w:hint="eastAsia" w:ascii="仿宋_GB2312" w:hAnsi="仿宋" w:eastAsia="仿宋_GB2312"/>
          <w:sz w:val="32"/>
          <w:szCs w:val="32"/>
        </w:rPr>
        <w:t>年收支总预算</w:t>
      </w:r>
      <w:r>
        <w:rPr>
          <w:rFonts w:hint="eastAsia" w:ascii="仿宋_GB2312" w:hAnsi="仿宋" w:eastAsia="仿宋_GB2312"/>
          <w:sz w:val="32"/>
          <w:szCs w:val="32"/>
          <w:lang w:val="en-US" w:eastAsia="zh-CN"/>
        </w:rPr>
        <w:t>50.23</w:t>
      </w:r>
      <w:r>
        <w:rPr>
          <w:rFonts w:hint="eastAsia" w:ascii="仿宋_GB2312" w:hAnsi="仿宋" w:eastAsia="仿宋_GB2312"/>
          <w:sz w:val="32"/>
          <w:szCs w:val="32"/>
        </w:rPr>
        <w:t>万元，收入全部是一般公共预算拨款收入，支出包括：一般公共服务</w:t>
      </w:r>
      <w:r>
        <w:rPr>
          <w:rFonts w:hint="eastAsia" w:ascii="仿宋_GB2312" w:hAnsi="仿宋" w:eastAsia="仿宋_GB2312"/>
          <w:sz w:val="32"/>
          <w:szCs w:val="32"/>
          <w:lang w:eastAsia="zh-CN"/>
        </w:rPr>
        <w:t>支出</w:t>
      </w:r>
      <w:r>
        <w:rPr>
          <w:rFonts w:hint="eastAsia" w:ascii="仿宋_GB2312" w:hAnsi="仿宋" w:eastAsia="仿宋_GB2312"/>
          <w:sz w:val="32"/>
          <w:szCs w:val="32"/>
        </w:rPr>
        <w:t>、社会保障和就业支出、卫生健康支出、住房保障支出。</w:t>
      </w:r>
    </w:p>
    <w:p>
      <w:pPr>
        <w:pStyle w:val="4"/>
        <w:adjustRightInd w:val="0"/>
        <w:snapToGrid w:val="0"/>
        <w:spacing w:before="0" w:beforeAutospacing="0" w:after="0" w:afterAutospacing="0" w:line="600" w:lineRule="exact"/>
        <w:ind w:firstLine="627" w:firstLineChars="196"/>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二、关于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年收入总表的说明</w:t>
      </w:r>
    </w:p>
    <w:p>
      <w:pPr>
        <w:adjustRightInd w:val="0"/>
        <w:snapToGrid w:val="0"/>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sz w:val="32"/>
          <w:szCs w:val="32"/>
          <w:lang w:eastAsia="zh-CN"/>
        </w:rPr>
        <w:t>中国致公党安庆市委员会2022</w:t>
      </w:r>
      <w:r>
        <w:rPr>
          <w:rFonts w:hint="eastAsia" w:ascii="仿宋_GB2312" w:hAnsi="仿宋" w:eastAsia="仿宋_GB2312"/>
          <w:sz w:val="32"/>
          <w:szCs w:val="32"/>
        </w:rPr>
        <w:t>年收入预算</w:t>
      </w:r>
      <w:r>
        <w:rPr>
          <w:rFonts w:hint="eastAsia" w:ascii="仿宋_GB2312" w:hAnsi="仿宋" w:eastAsia="仿宋_GB2312"/>
          <w:sz w:val="32"/>
          <w:szCs w:val="32"/>
          <w:lang w:val="en-US" w:eastAsia="zh-CN"/>
        </w:rPr>
        <w:t>50.23</w:t>
      </w:r>
      <w:r>
        <w:rPr>
          <w:rFonts w:hint="eastAsia" w:ascii="仿宋_GB2312" w:hAnsi="仿宋" w:eastAsia="仿宋_GB2312"/>
          <w:sz w:val="32"/>
          <w:szCs w:val="32"/>
        </w:rPr>
        <w:t>万元，其中，本年收入</w:t>
      </w:r>
      <w:r>
        <w:rPr>
          <w:rFonts w:hint="eastAsia" w:ascii="仿宋_GB2312" w:hAnsi="仿宋" w:eastAsia="仿宋_GB2312"/>
          <w:sz w:val="32"/>
          <w:szCs w:val="32"/>
          <w:lang w:val="en-US" w:eastAsia="zh-CN"/>
        </w:rPr>
        <w:t>50.23</w:t>
      </w:r>
      <w:r>
        <w:rPr>
          <w:rFonts w:hint="eastAsia" w:ascii="仿宋_GB2312" w:hAnsi="仿宋" w:eastAsia="仿宋_GB2312"/>
          <w:sz w:val="32"/>
          <w:szCs w:val="32"/>
        </w:rPr>
        <w:t>万元</w:t>
      </w:r>
      <w:r>
        <w:rPr>
          <w:rFonts w:hint="eastAsia" w:ascii="仿宋_GB2312" w:hAnsi="仿宋" w:eastAsia="仿宋_GB2312"/>
          <w:sz w:val="32"/>
          <w:szCs w:val="32"/>
          <w:lang w:eastAsia="zh-CN"/>
        </w:rPr>
        <w:t>，</w:t>
      </w:r>
      <w:r>
        <w:rPr>
          <w:rFonts w:hint="eastAsia" w:ascii="仿宋_GB2312" w:hAnsi="仿宋" w:eastAsia="仿宋_GB2312"/>
          <w:sz w:val="32"/>
          <w:szCs w:val="32"/>
        </w:rPr>
        <w:t>上年结转结余</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p>
    <w:p>
      <w:pPr>
        <w:numPr>
          <w:ilvl w:val="0"/>
          <w:numId w:val="2"/>
        </w:numPr>
        <w:adjustRightInd w:val="0"/>
        <w:snapToGrid w:val="0"/>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本年收入</w:t>
      </w:r>
      <w:r>
        <w:rPr>
          <w:rFonts w:hint="eastAsia" w:ascii="仿宋_GB2312" w:hAnsi="仿宋" w:eastAsia="仿宋_GB2312"/>
          <w:sz w:val="32"/>
          <w:szCs w:val="32"/>
          <w:lang w:val="en-US" w:eastAsia="zh-CN"/>
        </w:rPr>
        <w:t>50.23</w:t>
      </w:r>
      <w:r>
        <w:rPr>
          <w:rFonts w:hint="eastAsia" w:ascii="仿宋_GB2312" w:hAnsi="仿宋" w:eastAsia="仿宋_GB2312"/>
          <w:sz w:val="32"/>
          <w:szCs w:val="32"/>
        </w:rPr>
        <w:t>万元，</w:t>
      </w:r>
      <w:r>
        <w:rPr>
          <w:rFonts w:hint="eastAsia" w:ascii="仿宋_GB2312" w:hAnsi="仿宋" w:eastAsia="仿宋_GB2312"/>
          <w:sz w:val="32"/>
          <w:szCs w:val="32"/>
          <w:lang w:val="en-US" w:eastAsia="zh-CN"/>
        </w:rPr>
        <w:t>收入全部为一般公共预算拨款收入50.23万元，占100%，比</w:t>
      </w:r>
      <w:r>
        <w:rPr>
          <w:rFonts w:hint="eastAsia" w:ascii="仿宋_GB2312" w:hAnsi="仿宋" w:eastAsia="仿宋_GB2312"/>
          <w:sz w:val="32"/>
          <w:szCs w:val="32"/>
        </w:rPr>
        <w:t>202</w:t>
      </w:r>
      <w:r>
        <w:rPr>
          <w:rFonts w:hint="eastAsia" w:ascii="仿宋_GB2312" w:hAnsi="仿宋" w:eastAsia="仿宋_GB2312"/>
          <w:sz w:val="32"/>
          <w:szCs w:val="32"/>
          <w:lang w:val="en-US" w:eastAsia="zh-CN"/>
        </w:rPr>
        <w:t>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6.12</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13.87</w:t>
      </w:r>
      <w:r>
        <w:rPr>
          <w:rFonts w:hint="eastAsia" w:ascii="仿宋_GB2312" w:hAnsi="仿宋" w:eastAsia="仿宋_GB2312"/>
          <w:sz w:val="32"/>
          <w:szCs w:val="32"/>
        </w:rPr>
        <w:t>%，</w:t>
      </w:r>
      <w:r>
        <w:rPr>
          <w:rFonts w:hint="eastAsia" w:ascii="仿宋_GB2312" w:hAnsi="仿宋" w:eastAsia="仿宋_GB2312"/>
          <w:sz w:val="32"/>
          <w:szCs w:val="32"/>
          <w:highlight w:val="none"/>
        </w:rPr>
        <w:t>增长原因主要是</w:t>
      </w:r>
      <w:r>
        <w:rPr>
          <w:rFonts w:hint="eastAsia" w:ascii="仿宋_GB2312" w:hAnsi="仿宋" w:eastAsia="仿宋_GB2312"/>
          <w:sz w:val="32"/>
          <w:szCs w:val="32"/>
          <w:highlight w:val="none"/>
          <w:lang w:eastAsia="zh-CN"/>
        </w:rPr>
        <w:t>新增项目</w:t>
      </w:r>
      <w:r>
        <w:rPr>
          <w:rFonts w:hint="eastAsia" w:ascii="仿宋_GB2312" w:hAnsi="仿宋" w:eastAsia="仿宋_GB2312"/>
          <w:sz w:val="32"/>
          <w:szCs w:val="32"/>
        </w:rPr>
        <w:t>经费</w:t>
      </w:r>
      <w:r>
        <w:rPr>
          <w:rFonts w:hint="eastAsia" w:ascii="仿宋_GB2312" w:hAnsi="仿宋" w:eastAsia="仿宋_GB2312"/>
          <w:sz w:val="32"/>
          <w:szCs w:val="32"/>
          <w:highlight w:val="none"/>
          <w:lang w:eastAsia="zh-CN"/>
        </w:rPr>
        <w:t>。</w:t>
      </w:r>
    </w:p>
    <w:p>
      <w:pPr>
        <w:numPr>
          <w:ilvl w:val="0"/>
          <w:numId w:val="2"/>
        </w:numPr>
        <w:adjustRightInd w:val="0"/>
        <w:snapToGrid w:val="0"/>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上年结转结余</w:t>
      </w:r>
      <w:r>
        <w:rPr>
          <w:rFonts w:hint="eastAsia" w:ascii="仿宋_GB2312" w:hAnsi="仿宋" w:eastAsia="仿宋_GB2312"/>
          <w:sz w:val="32"/>
          <w:szCs w:val="32"/>
          <w:lang w:val="en-US" w:eastAsia="zh-CN"/>
        </w:rPr>
        <w:t>0</w:t>
      </w:r>
      <w:r>
        <w:rPr>
          <w:rFonts w:hint="eastAsia" w:ascii="仿宋_GB2312" w:hAnsi="仿宋" w:eastAsia="仿宋_GB2312"/>
          <w:sz w:val="32"/>
          <w:szCs w:val="32"/>
        </w:rPr>
        <w:t>万元，</w:t>
      </w:r>
      <w:r>
        <w:rPr>
          <w:rFonts w:hint="eastAsia" w:ascii="仿宋_GB2312" w:hAnsi="仿宋" w:eastAsia="仿宋_GB2312"/>
          <w:sz w:val="32"/>
          <w:szCs w:val="32"/>
          <w:lang w:eastAsia="zh-CN"/>
        </w:rPr>
        <w:t>与</w:t>
      </w:r>
      <w:r>
        <w:rPr>
          <w:rFonts w:hint="eastAsia" w:ascii="仿宋_GB2312" w:hAnsi="仿宋" w:eastAsia="仿宋_GB2312"/>
          <w:sz w:val="32"/>
          <w:szCs w:val="32"/>
          <w:lang w:val="en-US" w:eastAsia="zh-CN"/>
        </w:rPr>
        <w:t>2021年预算持平，无增减变动。</w:t>
      </w:r>
    </w:p>
    <w:p>
      <w:pPr>
        <w:adjustRightInd w:val="0"/>
        <w:snapToGrid w:val="0"/>
        <w:spacing w:line="600" w:lineRule="exact"/>
        <w:ind w:firstLine="640" w:firstLineChars="200"/>
        <w:rPr>
          <w:rFonts w:ascii="黑体" w:hAnsi="仿宋" w:eastAsia="黑体" w:cs="宋体"/>
          <w:color w:val="000000" w:themeColor="text1"/>
          <w:kern w:val="0"/>
          <w:sz w:val="32"/>
          <w:szCs w:val="32"/>
          <w14:textFill>
            <w14:solidFill>
              <w14:schemeClr w14:val="tx1"/>
            </w14:solidFill>
          </w14:textFill>
        </w:rPr>
      </w:pPr>
      <w:r>
        <w:rPr>
          <w:rFonts w:hint="eastAsia" w:ascii="黑体" w:hAnsi="仿宋" w:eastAsia="黑体" w:cs="宋体"/>
          <w:color w:val="000000" w:themeColor="text1"/>
          <w:kern w:val="0"/>
          <w:sz w:val="32"/>
          <w:szCs w:val="32"/>
          <w14:textFill>
            <w14:solidFill>
              <w14:schemeClr w14:val="tx1"/>
            </w14:solidFill>
          </w14:textFill>
        </w:rPr>
        <w:t>三、关于</w:t>
      </w:r>
      <w:r>
        <w:rPr>
          <w:rFonts w:hint="eastAsia" w:ascii="黑体" w:hAnsi="仿宋" w:eastAsia="黑体" w:cs="宋体"/>
          <w:color w:val="000000" w:themeColor="text1"/>
          <w:kern w:val="0"/>
          <w:sz w:val="32"/>
          <w:szCs w:val="32"/>
          <w:lang w:eastAsia="zh-CN"/>
          <w14:textFill>
            <w14:solidFill>
              <w14:schemeClr w14:val="tx1"/>
            </w14:solidFill>
          </w14:textFill>
        </w:rPr>
        <w:t>2022</w:t>
      </w:r>
      <w:r>
        <w:rPr>
          <w:rFonts w:hint="eastAsia" w:ascii="黑体" w:hAnsi="仿宋" w:eastAsia="黑体" w:cs="宋体"/>
          <w:color w:val="000000" w:themeColor="text1"/>
          <w:kern w:val="0"/>
          <w:sz w:val="32"/>
          <w:szCs w:val="32"/>
          <w14:textFill>
            <w14:solidFill>
              <w14:schemeClr w14:val="tx1"/>
            </w14:solidFill>
          </w14:textFill>
        </w:rPr>
        <w:t>年支出总表的说明</w:t>
      </w:r>
    </w:p>
    <w:p>
      <w:pPr>
        <w:keepNext w:val="0"/>
        <w:keepLines w:val="0"/>
        <w:widowControl w:val="0"/>
        <w:suppressLineNumbers w:val="0"/>
        <w:adjustRightInd w:val="0"/>
        <w:snapToGrid w:val="0"/>
        <w:spacing w:before="0" w:beforeAutospacing="0" w:after="0" w:afterAutospacing="0" w:line="600" w:lineRule="exact"/>
        <w:ind w:left="0" w:right="0" w:firstLine="640" w:firstLineChars="200"/>
        <w:jc w:val="both"/>
        <w:rPr>
          <w:rFonts w:ascii="仿宋_GB2312" w:hAnsi="仿宋" w:eastAsia="仿宋_GB2312" w:cs="Times New Roman"/>
          <w:sz w:val="32"/>
          <w:szCs w:val="32"/>
        </w:rPr>
      </w:pPr>
      <w:r>
        <w:rPr>
          <w:rFonts w:hint="eastAsia" w:ascii="仿宋_GB2312" w:hAnsi="仿宋" w:eastAsia="仿宋_GB2312" w:cs="Times New Roman"/>
          <w:sz w:val="32"/>
          <w:szCs w:val="32"/>
          <w:lang w:eastAsia="zh-CN"/>
        </w:rPr>
        <w:t>中国致公党安庆市委员会2022</w:t>
      </w:r>
      <w:r>
        <w:rPr>
          <w:rFonts w:hint="eastAsia" w:ascii="仿宋_GB2312" w:hAnsi="仿宋" w:eastAsia="仿宋_GB2312" w:cs="Times New Roman"/>
          <w:sz w:val="32"/>
          <w:szCs w:val="32"/>
        </w:rPr>
        <w:t>年支出预算</w:t>
      </w:r>
      <w:r>
        <w:rPr>
          <w:rFonts w:hint="eastAsia" w:ascii="仿宋_GB2312" w:hAnsi="仿宋" w:eastAsia="仿宋_GB2312" w:cs="Times New Roman"/>
          <w:sz w:val="32"/>
          <w:szCs w:val="32"/>
          <w:lang w:val="en-US" w:eastAsia="zh-CN"/>
        </w:rPr>
        <w:t>50.23</w:t>
      </w:r>
      <w:r>
        <w:rPr>
          <w:rFonts w:hint="eastAsia" w:ascii="仿宋_GB2312" w:hAnsi="仿宋" w:eastAsia="仿宋_GB2312" w:cs="Times New Roman"/>
          <w:sz w:val="32"/>
          <w:szCs w:val="32"/>
        </w:rPr>
        <w:t>万元，比</w:t>
      </w:r>
      <w:r>
        <w:rPr>
          <w:rFonts w:hint="eastAsia" w:ascii="仿宋_GB2312" w:hAnsi="仿宋" w:eastAsia="仿宋_GB2312" w:cs="Times New Roman"/>
          <w:sz w:val="32"/>
          <w:szCs w:val="32"/>
          <w:lang w:eastAsia="zh-CN"/>
        </w:rPr>
        <w:t>2021</w:t>
      </w:r>
      <w:r>
        <w:rPr>
          <w:rFonts w:hint="eastAsia" w:ascii="仿宋_GB2312" w:hAnsi="仿宋" w:eastAsia="仿宋_GB2312" w:cs="Times New Roman"/>
          <w:sz w:val="32"/>
          <w:szCs w:val="32"/>
        </w:rPr>
        <w:t>年预算增加</w:t>
      </w:r>
      <w:r>
        <w:rPr>
          <w:rFonts w:hint="eastAsia" w:ascii="仿宋_GB2312" w:hAnsi="仿宋" w:eastAsia="仿宋_GB2312" w:cs="Times New Roman"/>
          <w:sz w:val="32"/>
          <w:szCs w:val="32"/>
          <w:lang w:val="en-US" w:eastAsia="zh-CN"/>
        </w:rPr>
        <w:t>6.12</w:t>
      </w:r>
      <w:r>
        <w:rPr>
          <w:rFonts w:hint="eastAsia" w:ascii="仿宋_GB2312" w:hAnsi="仿宋" w:eastAsia="仿宋_GB2312" w:cs="Times New Roman"/>
          <w:sz w:val="32"/>
          <w:szCs w:val="32"/>
        </w:rPr>
        <w:t>万元，增长</w:t>
      </w:r>
      <w:r>
        <w:rPr>
          <w:rFonts w:hint="eastAsia" w:ascii="仿宋_GB2312" w:hAnsi="仿宋" w:eastAsia="仿宋_GB2312" w:cs="Times New Roman"/>
          <w:sz w:val="32"/>
          <w:szCs w:val="32"/>
          <w:lang w:val="en-US" w:eastAsia="zh-CN"/>
        </w:rPr>
        <w:t>13.87</w:t>
      </w:r>
      <w:r>
        <w:rPr>
          <w:rFonts w:hint="eastAsia" w:ascii="仿宋_GB2312" w:hAnsi="仿宋" w:eastAsia="仿宋_GB2312" w:cs="Times New Roman"/>
          <w:sz w:val="32"/>
          <w:szCs w:val="32"/>
        </w:rPr>
        <w:t>%，增长原因主要是</w:t>
      </w:r>
      <w:r>
        <w:rPr>
          <w:rFonts w:hint="eastAsia" w:ascii="仿宋_GB2312" w:hAnsi="仿宋" w:eastAsia="仿宋_GB2312"/>
          <w:sz w:val="32"/>
          <w:szCs w:val="32"/>
          <w:highlight w:val="none"/>
          <w:lang w:eastAsia="zh-CN"/>
        </w:rPr>
        <w:t>新增项目</w:t>
      </w:r>
      <w:r>
        <w:rPr>
          <w:rFonts w:hint="eastAsia" w:ascii="仿宋_GB2312" w:hAnsi="仿宋" w:eastAsia="仿宋_GB2312"/>
          <w:sz w:val="32"/>
          <w:szCs w:val="32"/>
        </w:rPr>
        <w:t>经费</w:t>
      </w:r>
      <w:r>
        <w:rPr>
          <w:rFonts w:hint="eastAsia" w:ascii="仿宋_GB2312" w:hAnsi="仿宋" w:eastAsia="仿宋_GB2312" w:cs="Times New Roman"/>
          <w:sz w:val="32"/>
          <w:szCs w:val="32"/>
        </w:rPr>
        <w:t>。其中，基本支出</w:t>
      </w:r>
      <w:r>
        <w:rPr>
          <w:rFonts w:hint="eastAsia" w:ascii="仿宋_GB2312" w:hAnsi="仿宋" w:eastAsia="仿宋_GB2312" w:cs="Times New Roman"/>
          <w:sz w:val="32"/>
          <w:szCs w:val="32"/>
          <w:lang w:val="en-US" w:eastAsia="zh-CN"/>
        </w:rPr>
        <w:t>30.33</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60.38</w:t>
      </w:r>
      <w:r>
        <w:rPr>
          <w:rFonts w:hint="eastAsia" w:ascii="仿宋_GB2312" w:hAnsi="仿宋" w:eastAsia="仿宋_GB2312" w:cs="Times New Roman"/>
          <w:sz w:val="32"/>
          <w:szCs w:val="32"/>
        </w:rPr>
        <w:t>%，主要用于保障机构运转、完成工作任务等；项目支出</w:t>
      </w:r>
      <w:r>
        <w:rPr>
          <w:rFonts w:hint="eastAsia" w:ascii="仿宋_GB2312" w:hAnsi="仿宋" w:eastAsia="仿宋_GB2312" w:cs="Times New Roman"/>
          <w:sz w:val="32"/>
          <w:szCs w:val="32"/>
          <w:lang w:val="en-US" w:eastAsia="zh-CN"/>
        </w:rPr>
        <w:t>19.90</w:t>
      </w:r>
      <w:r>
        <w:rPr>
          <w:rFonts w:hint="eastAsia" w:ascii="仿宋_GB2312" w:hAnsi="仿宋" w:eastAsia="仿宋_GB2312" w:cs="Times New Roman"/>
          <w:sz w:val="32"/>
          <w:szCs w:val="32"/>
        </w:rPr>
        <w:t>万元，占</w:t>
      </w:r>
      <w:r>
        <w:rPr>
          <w:rFonts w:hint="eastAsia" w:ascii="仿宋_GB2312" w:hAnsi="仿宋" w:eastAsia="仿宋_GB2312" w:cs="Times New Roman"/>
          <w:sz w:val="32"/>
          <w:szCs w:val="32"/>
          <w:lang w:val="en-US" w:eastAsia="zh-CN"/>
        </w:rPr>
        <w:t>39.62</w:t>
      </w:r>
      <w:r>
        <w:rPr>
          <w:rFonts w:hint="eastAsia" w:ascii="仿宋_GB2312" w:hAnsi="仿宋" w:eastAsia="仿宋_GB2312" w:cs="Times New Roman"/>
          <w:sz w:val="32"/>
          <w:szCs w:val="32"/>
        </w:rPr>
        <w:t>%，主要用于民主党派基层组织换届经费</w:t>
      </w:r>
      <w:r>
        <w:rPr>
          <w:rFonts w:hint="eastAsia" w:ascii="仿宋_GB2312" w:hAnsi="仿宋" w:eastAsia="仿宋_GB2312" w:cs="Times New Roman"/>
          <w:sz w:val="32"/>
          <w:szCs w:val="32"/>
          <w:lang w:eastAsia="zh-CN"/>
        </w:rPr>
        <w:t>、参政议政、民主监督、庆祝致公党安庆市委成立十周年</w:t>
      </w:r>
      <w:r>
        <w:rPr>
          <w:rFonts w:hint="eastAsia" w:ascii="仿宋_GB2312" w:hAnsi="仿宋" w:eastAsia="仿宋_GB2312" w:cs="Times New Roman"/>
          <w:sz w:val="32"/>
          <w:szCs w:val="32"/>
        </w:rPr>
        <w:t>。</w:t>
      </w:r>
    </w:p>
    <w:p>
      <w:pPr>
        <w:adjustRightInd w:val="0"/>
        <w:snapToGrid w:val="0"/>
        <w:spacing w:line="600" w:lineRule="exact"/>
        <w:ind w:firstLine="640" w:firstLineChars="200"/>
        <w:rPr>
          <w:rFonts w:ascii="黑体" w:hAnsi="仿宋" w:eastAsia="黑体" w:cs="宋体"/>
          <w:color w:val="000000" w:themeColor="text1"/>
          <w:kern w:val="0"/>
          <w:sz w:val="32"/>
          <w:szCs w:val="32"/>
          <w14:textFill>
            <w14:solidFill>
              <w14:schemeClr w14:val="tx1"/>
            </w14:solidFill>
          </w14:textFill>
        </w:rPr>
      </w:pPr>
      <w:r>
        <w:rPr>
          <w:rFonts w:hint="eastAsia" w:ascii="黑体" w:hAnsi="仿宋" w:eastAsia="黑体" w:cs="宋体"/>
          <w:color w:val="000000" w:themeColor="text1"/>
          <w:kern w:val="0"/>
          <w:sz w:val="32"/>
          <w:szCs w:val="32"/>
          <w14:textFill>
            <w14:solidFill>
              <w14:schemeClr w14:val="tx1"/>
            </w14:solidFill>
          </w14:textFill>
        </w:rPr>
        <w:t>四、关于</w:t>
      </w:r>
      <w:r>
        <w:rPr>
          <w:rFonts w:hint="eastAsia" w:ascii="黑体" w:hAnsi="仿宋" w:eastAsia="黑体" w:cs="宋体"/>
          <w:color w:val="000000" w:themeColor="text1"/>
          <w:kern w:val="0"/>
          <w:sz w:val="32"/>
          <w:szCs w:val="32"/>
          <w:lang w:eastAsia="zh-CN"/>
          <w14:textFill>
            <w14:solidFill>
              <w14:schemeClr w14:val="tx1"/>
            </w14:solidFill>
          </w14:textFill>
        </w:rPr>
        <w:t>2022</w:t>
      </w:r>
      <w:r>
        <w:rPr>
          <w:rFonts w:hint="eastAsia" w:ascii="黑体" w:hAnsi="仿宋" w:eastAsia="黑体" w:cs="宋体"/>
          <w:color w:val="000000" w:themeColor="text1"/>
          <w:kern w:val="0"/>
          <w:sz w:val="32"/>
          <w:szCs w:val="32"/>
          <w14:textFill>
            <w14:solidFill>
              <w14:schemeClr w14:val="tx1"/>
            </w14:solidFill>
          </w14:textFill>
        </w:rPr>
        <w:t>年财政拨款收支总表的说明</w:t>
      </w:r>
    </w:p>
    <w:p>
      <w:pPr>
        <w:pStyle w:val="4"/>
        <w:adjustRightInd w:val="0"/>
        <w:snapToGrid w:val="0"/>
        <w:spacing w:before="0" w:beforeAutospacing="0" w:after="0" w:afterAutospacing="0" w:line="600" w:lineRule="exact"/>
        <w:ind w:firstLine="640" w:firstLineChars="200"/>
        <w:rPr>
          <w:rFonts w:ascii="仿宋_GB2312" w:hAnsi="仿宋" w:eastAsia="仿宋_GB2312" w:cs="Times New Roman"/>
          <w:kern w:val="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cs="Times New Roman"/>
          <w:kern w:val="2"/>
          <w:sz w:val="32"/>
          <w:szCs w:val="32"/>
          <w:lang w:eastAsia="zh-CN"/>
        </w:rPr>
        <w:t>2022</w:t>
      </w:r>
      <w:r>
        <w:rPr>
          <w:rFonts w:hint="eastAsia" w:ascii="仿宋_GB2312" w:hAnsi="仿宋" w:eastAsia="仿宋_GB2312" w:cs="Times New Roman"/>
          <w:kern w:val="2"/>
          <w:sz w:val="32"/>
          <w:szCs w:val="32"/>
        </w:rPr>
        <w:t>年财政拨款收支预算</w:t>
      </w:r>
      <w:r>
        <w:rPr>
          <w:rFonts w:hint="eastAsia" w:ascii="仿宋_GB2312" w:hAnsi="仿宋" w:eastAsia="仿宋_GB2312" w:cs="Times New Roman"/>
          <w:kern w:val="2"/>
          <w:sz w:val="32"/>
          <w:szCs w:val="32"/>
          <w:lang w:val="en-US" w:eastAsia="zh-CN"/>
        </w:rPr>
        <w:t>50.23</w:t>
      </w:r>
      <w:r>
        <w:rPr>
          <w:rFonts w:hint="eastAsia" w:ascii="仿宋_GB2312" w:hAnsi="仿宋" w:eastAsia="仿宋_GB2312" w:cs="Times New Roman"/>
          <w:kern w:val="2"/>
          <w:sz w:val="32"/>
          <w:szCs w:val="32"/>
        </w:rPr>
        <w:t>万元。收入按资金来源分</w:t>
      </w:r>
      <w:r>
        <w:rPr>
          <w:rFonts w:hint="eastAsia" w:ascii="仿宋_GB2312" w:hAnsi="仿宋" w:eastAsia="仿宋_GB2312" w:cs="Times New Roman"/>
          <w:kern w:val="2"/>
          <w:sz w:val="32"/>
          <w:szCs w:val="32"/>
          <w:lang w:eastAsia="zh-CN"/>
        </w:rPr>
        <w:t>全部为</w:t>
      </w:r>
      <w:r>
        <w:rPr>
          <w:rFonts w:hint="eastAsia" w:ascii="仿宋_GB2312" w:hAnsi="仿宋" w:eastAsia="仿宋_GB2312" w:cs="Times New Roman"/>
          <w:kern w:val="2"/>
          <w:sz w:val="32"/>
          <w:szCs w:val="32"/>
        </w:rPr>
        <w:t>一般公共预算拨款</w:t>
      </w:r>
      <w:r>
        <w:rPr>
          <w:rFonts w:hint="eastAsia" w:ascii="仿宋_GB2312" w:hAnsi="仿宋" w:eastAsia="仿宋_GB2312" w:cs="Times New Roman"/>
          <w:kern w:val="2"/>
          <w:sz w:val="32"/>
          <w:szCs w:val="32"/>
          <w:lang w:val="en-US" w:eastAsia="zh-CN"/>
        </w:rPr>
        <w:t>50.23</w:t>
      </w:r>
      <w:r>
        <w:rPr>
          <w:rFonts w:hint="eastAsia" w:ascii="仿宋_GB2312" w:hAnsi="仿宋" w:eastAsia="仿宋_GB2312" w:cs="Times New Roman"/>
          <w:kern w:val="2"/>
          <w:sz w:val="32"/>
          <w:szCs w:val="32"/>
        </w:rPr>
        <w:t>万元；按资金年度分</w:t>
      </w:r>
      <w:r>
        <w:rPr>
          <w:rFonts w:hint="eastAsia" w:ascii="仿宋_GB2312" w:hAnsi="仿宋" w:eastAsia="仿宋_GB2312" w:cs="Times New Roman"/>
          <w:kern w:val="2"/>
          <w:sz w:val="32"/>
          <w:szCs w:val="32"/>
          <w:lang w:eastAsia="zh-CN"/>
        </w:rPr>
        <w:t>全部为</w:t>
      </w:r>
      <w:r>
        <w:rPr>
          <w:rFonts w:hint="eastAsia" w:ascii="仿宋_GB2312" w:hAnsi="仿宋" w:eastAsia="仿宋_GB2312" w:cs="Times New Roman"/>
          <w:kern w:val="2"/>
          <w:sz w:val="32"/>
          <w:szCs w:val="32"/>
        </w:rPr>
        <w:t>本年财政拨款收入</w:t>
      </w:r>
      <w:r>
        <w:rPr>
          <w:rFonts w:hint="eastAsia" w:ascii="仿宋_GB2312" w:hAnsi="仿宋" w:eastAsia="仿宋_GB2312" w:cs="Times New Roman"/>
          <w:kern w:val="2"/>
          <w:sz w:val="32"/>
          <w:szCs w:val="32"/>
          <w:lang w:val="en-US" w:eastAsia="zh-CN"/>
        </w:rPr>
        <w:t>50.23</w:t>
      </w:r>
      <w:r>
        <w:rPr>
          <w:rFonts w:hint="eastAsia" w:ascii="仿宋_GB2312" w:hAnsi="仿宋" w:eastAsia="仿宋_GB2312" w:cs="Times New Roman"/>
          <w:kern w:val="2"/>
          <w:sz w:val="32"/>
          <w:szCs w:val="32"/>
        </w:rPr>
        <w:t>万元。支出按功能分类分为：一般公共服务支出</w:t>
      </w:r>
      <w:r>
        <w:rPr>
          <w:rFonts w:hint="eastAsia" w:ascii="仿宋_GB2312" w:hAnsi="仿宋" w:eastAsia="仿宋_GB2312" w:cs="Times New Roman"/>
          <w:kern w:val="2"/>
          <w:sz w:val="32"/>
          <w:szCs w:val="32"/>
          <w:lang w:val="en-US" w:eastAsia="zh-CN"/>
        </w:rPr>
        <w:t>42.90</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85.40</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3.19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6.36</w:t>
      </w:r>
      <w:r>
        <w:rPr>
          <w:rFonts w:hint="eastAsia" w:ascii="仿宋_GB2312" w:hAnsi="仿宋" w:eastAsia="仿宋_GB2312" w:cs="Times New Roman"/>
          <w:kern w:val="2"/>
          <w:sz w:val="32"/>
          <w:szCs w:val="32"/>
        </w:rPr>
        <w:t>%；卫生健康支出</w:t>
      </w:r>
      <w:r>
        <w:rPr>
          <w:rFonts w:hint="eastAsia" w:ascii="仿宋_GB2312" w:hAnsi="仿宋" w:eastAsia="仿宋_GB2312" w:cs="Times New Roman"/>
          <w:kern w:val="2"/>
          <w:sz w:val="32"/>
          <w:szCs w:val="32"/>
          <w:lang w:val="en-US" w:eastAsia="zh-CN"/>
        </w:rPr>
        <w:t>1.34</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2.68</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2.79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5.56</w:t>
      </w:r>
      <w:r>
        <w:rPr>
          <w:rFonts w:hint="eastAsia" w:ascii="仿宋_GB2312" w:hAnsi="仿宋" w:eastAsia="仿宋_GB2312" w:cs="Times New Roman"/>
          <w:kern w:val="2"/>
          <w:sz w:val="32"/>
          <w:szCs w:val="32"/>
        </w:rPr>
        <w:t>%。</w:t>
      </w:r>
    </w:p>
    <w:p>
      <w:pPr>
        <w:pStyle w:val="4"/>
        <w:adjustRightInd w:val="0"/>
        <w:snapToGrid w:val="0"/>
        <w:spacing w:before="0" w:beforeAutospacing="0" w:after="0" w:afterAutospacing="0" w:line="600" w:lineRule="exact"/>
        <w:ind w:firstLine="640" w:firstLineChars="200"/>
        <w:rPr>
          <w:rFonts w:ascii="黑体" w:hAnsi="仿宋" w:eastAsia="黑体"/>
          <w:color w:val="000000" w:themeColor="text1"/>
          <w:sz w:val="32"/>
          <w:szCs w:val="32"/>
          <w14:textFill>
            <w14:solidFill>
              <w14:schemeClr w14:val="tx1"/>
            </w14:solidFill>
          </w14:textFill>
        </w:rPr>
      </w:pPr>
      <w:r>
        <w:rPr>
          <w:rFonts w:hint="eastAsia" w:ascii="黑体" w:hAnsi="仿宋" w:eastAsia="黑体"/>
          <w:color w:val="000000" w:themeColor="text1"/>
          <w:sz w:val="32"/>
          <w:szCs w:val="32"/>
          <w14:textFill>
            <w14:solidFill>
              <w14:schemeClr w14:val="tx1"/>
            </w14:solidFill>
          </w14:textFill>
        </w:rPr>
        <w:t>五、关于</w:t>
      </w:r>
      <w:r>
        <w:rPr>
          <w:rFonts w:hint="eastAsia" w:ascii="黑体" w:hAnsi="仿宋" w:eastAsia="黑体"/>
          <w:color w:val="000000" w:themeColor="text1"/>
          <w:sz w:val="32"/>
          <w:szCs w:val="32"/>
          <w:lang w:eastAsia="zh-CN"/>
          <w14:textFill>
            <w14:solidFill>
              <w14:schemeClr w14:val="tx1"/>
            </w14:solidFill>
          </w14:textFill>
        </w:rPr>
        <w:t>2022</w:t>
      </w:r>
      <w:r>
        <w:rPr>
          <w:rFonts w:hint="eastAsia" w:ascii="黑体" w:hAnsi="仿宋" w:eastAsia="黑体"/>
          <w:color w:val="000000" w:themeColor="text1"/>
          <w:sz w:val="32"/>
          <w:szCs w:val="32"/>
          <w14:textFill>
            <w14:solidFill>
              <w14:schemeClr w14:val="tx1"/>
            </w14:solidFill>
          </w14:textFill>
        </w:rPr>
        <w:t>年一般公共预算支出表的说明</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（一）一般公共预算支出规模变化情况。</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cs="Times New Roman"/>
          <w:kern w:val="2"/>
          <w:sz w:val="32"/>
          <w:szCs w:val="32"/>
          <w:lang w:eastAsia="zh-CN"/>
        </w:rPr>
        <w:t>2022</w:t>
      </w:r>
      <w:r>
        <w:rPr>
          <w:rFonts w:hint="eastAsia" w:ascii="仿宋_GB2312" w:hAnsi="仿宋" w:eastAsia="仿宋_GB2312" w:cs="Times New Roman"/>
          <w:kern w:val="2"/>
          <w:sz w:val="32"/>
          <w:szCs w:val="32"/>
        </w:rPr>
        <w:t>年一般公共预算支出</w:t>
      </w:r>
      <w:r>
        <w:rPr>
          <w:rFonts w:hint="eastAsia" w:ascii="仿宋_GB2312" w:hAnsi="仿宋" w:eastAsia="仿宋_GB2312" w:cs="Times New Roman"/>
          <w:kern w:val="2"/>
          <w:sz w:val="32"/>
          <w:szCs w:val="32"/>
          <w:lang w:val="en-US" w:eastAsia="zh-CN"/>
        </w:rPr>
        <w:t>50.23</w:t>
      </w:r>
      <w:r>
        <w:rPr>
          <w:rFonts w:hint="eastAsia" w:ascii="仿宋_GB2312" w:hAnsi="仿宋" w:eastAsia="仿宋_GB2312" w:cs="Times New Roman"/>
          <w:kern w:val="2"/>
          <w:sz w:val="32"/>
          <w:szCs w:val="32"/>
        </w:rPr>
        <w:t>万元，比</w:t>
      </w:r>
      <w:r>
        <w:rPr>
          <w:rFonts w:hint="eastAsia" w:ascii="仿宋_GB2312" w:hAnsi="仿宋" w:eastAsia="仿宋_GB2312" w:cs="Times New Roman"/>
          <w:kern w:val="2"/>
          <w:sz w:val="32"/>
          <w:szCs w:val="32"/>
          <w:lang w:eastAsia="zh-CN"/>
        </w:rPr>
        <w:t>2021</w:t>
      </w:r>
      <w:r>
        <w:rPr>
          <w:rFonts w:hint="eastAsia" w:ascii="仿宋_GB2312" w:hAnsi="仿宋" w:eastAsia="仿宋_GB2312" w:cs="Times New Roman"/>
          <w:kern w:val="2"/>
          <w:sz w:val="32"/>
          <w:szCs w:val="32"/>
        </w:rPr>
        <w:t>年预算增加</w:t>
      </w:r>
      <w:r>
        <w:rPr>
          <w:rFonts w:hint="eastAsia" w:ascii="仿宋_GB2312" w:hAnsi="仿宋" w:eastAsia="仿宋_GB2312" w:cs="Times New Roman"/>
          <w:kern w:val="2"/>
          <w:sz w:val="32"/>
          <w:szCs w:val="32"/>
          <w:lang w:val="en-US" w:eastAsia="zh-CN"/>
        </w:rPr>
        <w:t>6.12</w:t>
      </w:r>
      <w:r>
        <w:rPr>
          <w:rFonts w:hint="eastAsia" w:ascii="仿宋_GB2312" w:hAnsi="仿宋" w:eastAsia="仿宋_GB2312" w:cs="Times New Roman"/>
          <w:kern w:val="2"/>
          <w:sz w:val="32"/>
          <w:szCs w:val="32"/>
        </w:rPr>
        <w:t>万元，增长</w:t>
      </w:r>
      <w:r>
        <w:rPr>
          <w:rFonts w:hint="eastAsia" w:ascii="仿宋_GB2312" w:hAnsi="仿宋" w:eastAsia="仿宋_GB2312" w:cs="Times New Roman"/>
          <w:kern w:val="2"/>
          <w:sz w:val="32"/>
          <w:szCs w:val="32"/>
          <w:lang w:val="en-US" w:eastAsia="zh-CN"/>
        </w:rPr>
        <w:t>13.87</w:t>
      </w:r>
      <w:r>
        <w:rPr>
          <w:rFonts w:hint="eastAsia" w:ascii="仿宋_GB2312" w:hAnsi="仿宋" w:eastAsia="仿宋_GB2312" w:cs="Times New Roman"/>
          <w:kern w:val="2"/>
          <w:sz w:val="32"/>
          <w:szCs w:val="32"/>
        </w:rPr>
        <w:t>%，主要原因</w:t>
      </w:r>
      <w:r>
        <w:rPr>
          <w:rFonts w:hint="eastAsia" w:ascii="仿宋_GB2312" w:hAnsi="仿宋" w:eastAsia="仿宋_GB2312" w:cs="Times New Roman"/>
          <w:kern w:val="2"/>
          <w:sz w:val="32"/>
          <w:szCs w:val="32"/>
          <w:lang w:eastAsia="zh-CN"/>
        </w:rPr>
        <w:t>是</w:t>
      </w:r>
      <w:r>
        <w:rPr>
          <w:rFonts w:hint="eastAsia" w:ascii="仿宋_GB2312" w:hAnsi="仿宋" w:eastAsia="仿宋_GB2312"/>
          <w:sz w:val="32"/>
          <w:szCs w:val="32"/>
          <w:highlight w:val="none"/>
          <w:lang w:eastAsia="zh-CN"/>
        </w:rPr>
        <w:t>新增项目</w:t>
      </w:r>
      <w:r>
        <w:rPr>
          <w:rFonts w:hint="eastAsia" w:ascii="仿宋_GB2312" w:hAnsi="仿宋" w:eastAsia="仿宋_GB2312"/>
          <w:sz w:val="32"/>
          <w:szCs w:val="32"/>
        </w:rPr>
        <w:t>经费</w:t>
      </w:r>
      <w:r>
        <w:rPr>
          <w:rFonts w:hint="eastAsia" w:ascii="仿宋_GB2312" w:hAnsi="仿宋" w:eastAsia="仿宋_GB2312" w:cs="Times New Roman"/>
          <w:kern w:val="2"/>
          <w:sz w:val="32"/>
          <w:szCs w:val="32"/>
        </w:rPr>
        <w:t>。</w:t>
      </w:r>
    </w:p>
    <w:p>
      <w:pPr>
        <w:pStyle w:val="4"/>
        <w:adjustRightInd w:val="0"/>
        <w:snapToGrid w:val="0"/>
        <w:spacing w:before="0" w:beforeAutospacing="0" w:after="0" w:afterAutospacing="0" w:line="600" w:lineRule="exact"/>
        <w:ind w:firstLine="630" w:firstLineChars="196"/>
        <w:rPr>
          <w:rFonts w:ascii="楷体_GB2312" w:hAnsi="仿宋" w:eastAsia="楷体_GB2312" w:cs="Times New Roman"/>
          <w:b/>
          <w:kern w:val="2"/>
          <w:sz w:val="32"/>
          <w:szCs w:val="32"/>
        </w:rPr>
      </w:pPr>
      <w:r>
        <w:rPr>
          <w:rFonts w:hint="eastAsia" w:ascii="楷体_GB2312" w:hAnsi="仿宋" w:eastAsia="楷体_GB2312" w:cs="Times New Roman"/>
          <w:b/>
          <w:kern w:val="2"/>
          <w:sz w:val="32"/>
          <w:szCs w:val="32"/>
        </w:rPr>
        <w:t>（二</w:t>
      </w:r>
      <w:r>
        <w:rPr>
          <w:rFonts w:ascii="楷体_GB2312" w:hAnsi="仿宋" w:eastAsia="楷体_GB2312" w:cs="Times New Roman"/>
          <w:b/>
          <w:kern w:val="2"/>
          <w:sz w:val="32"/>
          <w:szCs w:val="32"/>
        </w:rPr>
        <w:t>）</w:t>
      </w:r>
      <w:r>
        <w:rPr>
          <w:rFonts w:hint="eastAsia" w:ascii="楷体_GB2312" w:hAnsi="仿宋" w:eastAsia="楷体_GB2312" w:cs="Times New Roman"/>
          <w:b/>
          <w:kern w:val="2"/>
          <w:sz w:val="32"/>
          <w:szCs w:val="32"/>
        </w:rPr>
        <w:t>一般公共预算支出结构情况。</w:t>
      </w:r>
    </w:p>
    <w:p>
      <w:pPr>
        <w:pStyle w:val="4"/>
        <w:adjustRightInd w:val="0"/>
        <w:snapToGrid w:val="0"/>
        <w:spacing w:before="0" w:beforeAutospacing="0" w:after="0" w:afterAutospacing="0" w:line="600" w:lineRule="exact"/>
        <w:ind w:firstLine="640" w:firstLineChars="200"/>
        <w:rPr>
          <w:rFonts w:hint="eastAsia" w:ascii="仿宋_GB2312" w:hAnsi="仿宋" w:eastAsia="仿宋_GB2312" w:cs="Times New Roman"/>
          <w:kern w:val="2"/>
          <w:sz w:val="32"/>
          <w:szCs w:val="32"/>
          <w:lang w:eastAsia="zh-CN"/>
        </w:rPr>
      </w:pPr>
      <w:r>
        <w:rPr>
          <w:rFonts w:hint="eastAsia" w:ascii="仿宋_GB2312" w:hAnsi="仿宋" w:eastAsia="仿宋_GB2312" w:cs="Times New Roman"/>
          <w:kern w:val="2"/>
          <w:sz w:val="32"/>
          <w:szCs w:val="32"/>
        </w:rPr>
        <w:t>一般公共服务支出</w:t>
      </w:r>
      <w:r>
        <w:rPr>
          <w:rFonts w:hint="eastAsia" w:ascii="仿宋_GB2312" w:hAnsi="仿宋" w:eastAsia="仿宋_GB2312" w:cs="Times New Roman"/>
          <w:kern w:val="2"/>
          <w:sz w:val="32"/>
          <w:szCs w:val="32"/>
          <w:lang w:val="en-US" w:eastAsia="zh-CN"/>
        </w:rPr>
        <w:t>42.90</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85.40</w:t>
      </w:r>
      <w:r>
        <w:rPr>
          <w:rFonts w:hint="eastAsia" w:ascii="仿宋_GB2312" w:hAnsi="仿宋" w:eastAsia="仿宋_GB2312" w:cs="Times New Roman"/>
          <w:kern w:val="2"/>
          <w:sz w:val="32"/>
          <w:szCs w:val="32"/>
        </w:rPr>
        <w:t>%；社会保障和就业支出</w:t>
      </w:r>
      <w:r>
        <w:rPr>
          <w:rFonts w:hint="eastAsia" w:ascii="仿宋_GB2312" w:hAnsi="仿宋" w:eastAsia="仿宋_GB2312" w:cs="Times New Roman"/>
          <w:kern w:val="2"/>
          <w:sz w:val="32"/>
          <w:szCs w:val="32"/>
          <w:lang w:val="en-US" w:eastAsia="zh-CN"/>
        </w:rPr>
        <w:t>3.19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6.36</w:t>
      </w:r>
      <w:r>
        <w:rPr>
          <w:rFonts w:hint="eastAsia" w:ascii="仿宋_GB2312" w:hAnsi="仿宋" w:eastAsia="仿宋_GB2312" w:cs="Times New Roman"/>
          <w:kern w:val="2"/>
          <w:sz w:val="32"/>
          <w:szCs w:val="32"/>
        </w:rPr>
        <w:t>%；卫生健康支出</w:t>
      </w:r>
      <w:r>
        <w:rPr>
          <w:rFonts w:hint="eastAsia" w:ascii="仿宋_GB2312" w:hAnsi="仿宋" w:eastAsia="仿宋_GB2312" w:cs="Times New Roman"/>
          <w:kern w:val="2"/>
          <w:sz w:val="32"/>
          <w:szCs w:val="32"/>
          <w:lang w:val="en-US" w:eastAsia="zh-CN"/>
        </w:rPr>
        <w:t>1.34</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2.68</w:t>
      </w:r>
      <w:r>
        <w:rPr>
          <w:rFonts w:hint="eastAsia" w:ascii="仿宋_GB2312" w:hAnsi="仿宋" w:eastAsia="仿宋_GB2312" w:cs="Times New Roman"/>
          <w:kern w:val="2"/>
          <w:sz w:val="32"/>
          <w:szCs w:val="32"/>
        </w:rPr>
        <w:t>%；住房保障支出</w:t>
      </w:r>
      <w:r>
        <w:rPr>
          <w:rFonts w:hint="eastAsia" w:ascii="仿宋_GB2312" w:hAnsi="仿宋" w:eastAsia="仿宋_GB2312" w:cs="Times New Roman"/>
          <w:kern w:val="2"/>
          <w:sz w:val="32"/>
          <w:szCs w:val="32"/>
          <w:lang w:val="en-US" w:eastAsia="zh-CN"/>
        </w:rPr>
        <w:t>2.79</w:t>
      </w:r>
      <w:r>
        <w:rPr>
          <w:rFonts w:hint="eastAsia" w:ascii="仿宋_GB2312" w:hAnsi="仿宋" w:eastAsia="仿宋_GB2312" w:cs="Times New Roman"/>
          <w:kern w:val="2"/>
          <w:sz w:val="32"/>
          <w:szCs w:val="32"/>
        </w:rPr>
        <w:t>万元，占</w:t>
      </w:r>
      <w:r>
        <w:rPr>
          <w:rFonts w:hint="eastAsia" w:ascii="仿宋_GB2312" w:hAnsi="仿宋" w:eastAsia="仿宋_GB2312" w:cs="Times New Roman"/>
          <w:kern w:val="2"/>
          <w:sz w:val="32"/>
          <w:szCs w:val="32"/>
          <w:lang w:val="en-US" w:eastAsia="zh-CN"/>
        </w:rPr>
        <w:t>5.56</w:t>
      </w:r>
      <w:r>
        <w:rPr>
          <w:rFonts w:hint="eastAsia" w:ascii="仿宋_GB2312" w:hAnsi="仿宋" w:eastAsia="仿宋_GB2312" w:cs="Times New Roman"/>
          <w:kern w:val="2"/>
          <w:sz w:val="32"/>
          <w:szCs w:val="32"/>
        </w:rPr>
        <w:t>%</w:t>
      </w:r>
      <w:r>
        <w:rPr>
          <w:rFonts w:hint="eastAsia" w:ascii="仿宋_GB2312" w:hAnsi="仿宋" w:eastAsia="仿宋_GB2312" w:cs="Times New Roman"/>
          <w:kern w:val="2"/>
          <w:sz w:val="32"/>
          <w:szCs w:val="32"/>
          <w:lang w:eastAsia="zh-CN"/>
        </w:rPr>
        <w:t>。</w:t>
      </w:r>
    </w:p>
    <w:p>
      <w:pPr>
        <w:adjustRightInd w:val="0"/>
        <w:snapToGrid w:val="0"/>
        <w:spacing w:line="600" w:lineRule="exact"/>
        <w:ind w:firstLine="643" w:firstLineChars="200"/>
        <w:rPr>
          <w:rFonts w:ascii="楷体_GB2312" w:hAnsi="仿宋" w:eastAsia="楷体_GB2312"/>
          <w:b/>
          <w:sz w:val="32"/>
          <w:szCs w:val="32"/>
        </w:rPr>
      </w:pPr>
      <w:r>
        <w:rPr>
          <w:rFonts w:hint="eastAsia" w:ascii="楷体_GB2312" w:hAnsi="仿宋" w:eastAsia="楷体_GB2312"/>
          <w:b/>
          <w:sz w:val="32"/>
          <w:szCs w:val="32"/>
        </w:rPr>
        <w:t>（三）一般公共预算支出具体使用情况。</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rPr>
        <w:t>1.一般公共服务支出（类）</w:t>
      </w:r>
      <w:r>
        <w:rPr>
          <w:rFonts w:hint="eastAsia" w:ascii="仿宋_GB2312" w:hAnsi="仿宋" w:eastAsia="仿宋_GB2312"/>
          <w:b/>
          <w:sz w:val="32"/>
          <w:szCs w:val="32"/>
          <w:lang w:val="en-US" w:eastAsia="zh-CN"/>
        </w:rPr>
        <w:t>民主党派及工商联事务</w:t>
      </w:r>
      <w:r>
        <w:rPr>
          <w:rFonts w:hint="eastAsia" w:ascii="仿宋_GB2312" w:hAnsi="仿宋" w:eastAsia="仿宋_GB2312"/>
          <w:b/>
          <w:sz w:val="32"/>
          <w:szCs w:val="32"/>
        </w:rPr>
        <w:t>（款）行政运行（项）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23</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年预算减少</w:t>
      </w:r>
      <w:r>
        <w:rPr>
          <w:rFonts w:hint="eastAsia" w:ascii="仿宋_GB2312" w:hAnsi="仿宋" w:eastAsia="仿宋_GB2312"/>
          <w:sz w:val="32"/>
          <w:szCs w:val="32"/>
          <w:lang w:val="en-US" w:eastAsia="zh-CN"/>
        </w:rPr>
        <w:t>2.79</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10.82</w:t>
      </w:r>
      <w:r>
        <w:rPr>
          <w:rFonts w:hint="eastAsia" w:ascii="仿宋_GB2312" w:hAnsi="仿宋" w:eastAsia="仿宋_GB2312"/>
          <w:sz w:val="32"/>
          <w:szCs w:val="32"/>
        </w:rPr>
        <w:t>%，下降原因主要</w:t>
      </w:r>
      <w:r>
        <w:rPr>
          <w:rFonts w:hint="eastAsia" w:ascii="仿宋_GB2312" w:hAnsi="仿宋" w:eastAsia="仿宋_GB2312"/>
          <w:sz w:val="32"/>
          <w:szCs w:val="32"/>
          <w:highlight w:val="none"/>
        </w:rPr>
        <w:t>是</w:t>
      </w:r>
      <w:r>
        <w:rPr>
          <w:rFonts w:hint="eastAsia" w:ascii="仿宋_GB2312" w:hAnsi="仿宋" w:eastAsia="仿宋_GB2312"/>
          <w:sz w:val="32"/>
          <w:szCs w:val="32"/>
          <w:highlight w:val="none"/>
          <w:lang w:eastAsia="zh-CN"/>
        </w:rPr>
        <w:t>人员变动</w:t>
      </w:r>
      <w:r>
        <w:rPr>
          <w:rFonts w:hint="eastAsia" w:ascii="仿宋_GB2312" w:hAnsi="仿宋" w:eastAsia="仿宋_GB2312"/>
          <w:sz w:val="32"/>
          <w:szCs w:val="32"/>
          <w:highlight w:val="none"/>
        </w:rPr>
        <w:t>。</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2.一般公共服务支出（类）</w:t>
      </w:r>
      <w:r>
        <w:rPr>
          <w:rFonts w:hint="eastAsia" w:ascii="仿宋_GB2312" w:hAnsi="仿宋" w:eastAsia="仿宋_GB2312"/>
          <w:b/>
          <w:sz w:val="32"/>
          <w:szCs w:val="32"/>
          <w:lang w:val="en-US" w:eastAsia="zh-CN"/>
        </w:rPr>
        <w:t>民主党派及工商联事务</w:t>
      </w:r>
      <w:r>
        <w:rPr>
          <w:rFonts w:hint="eastAsia" w:ascii="仿宋_GB2312" w:hAnsi="仿宋" w:eastAsia="仿宋_GB2312"/>
          <w:b/>
          <w:sz w:val="32"/>
          <w:szCs w:val="32"/>
        </w:rPr>
        <w:t>（款）一般行政管理事务（项）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5</w:t>
      </w:r>
      <w:r>
        <w:rPr>
          <w:rFonts w:hint="eastAsia" w:ascii="仿宋_GB2312" w:hAnsi="仿宋" w:eastAsia="仿宋_GB2312"/>
          <w:sz w:val="32"/>
          <w:szCs w:val="32"/>
        </w:rPr>
        <w:t>万元，</w:t>
      </w:r>
      <w:r>
        <w:rPr>
          <w:rFonts w:hint="eastAsia" w:ascii="仿宋_GB2312" w:hAnsi="仿宋" w:eastAsia="仿宋_GB2312" w:cs="仿宋_GB2312"/>
          <w:kern w:val="2"/>
          <w:sz w:val="32"/>
          <w:szCs w:val="32"/>
          <w:lang w:val="en-US" w:eastAsia="zh-CN" w:bidi="ar"/>
        </w:rPr>
        <w:t>与2021年预算持平。</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rPr>
        <w:t>3.一般公共服务支出（类）民主党派及工商联事务（款）参政议政（项）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7.90</w:t>
      </w:r>
      <w:r>
        <w:rPr>
          <w:rFonts w:hint="eastAsia" w:ascii="仿宋_GB2312" w:hAnsi="仿宋" w:eastAsia="仿宋_GB2312"/>
          <w:sz w:val="32"/>
          <w:szCs w:val="32"/>
        </w:rPr>
        <w:t>万元，</w:t>
      </w:r>
      <w:r>
        <w:rPr>
          <w:rFonts w:hint="eastAsia" w:ascii="仿宋_GB2312" w:hAnsi="仿宋" w:eastAsia="仿宋_GB2312" w:cs="仿宋_GB2312"/>
          <w:kern w:val="2"/>
          <w:sz w:val="32"/>
          <w:szCs w:val="32"/>
          <w:lang w:val="en-US" w:eastAsia="zh-CN" w:bidi="ar"/>
        </w:rPr>
        <w:t>与2021年预算持平。</w:t>
      </w:r>
    </w:p>
    <w:p>
      <w:pPr>
        <w:adjustRightInd w:val="0"/>
        <w:snapToGrid w:val="0"/>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b/>
          <w:sz w:val="32"/>
          <w:szCs w:val="32"/>
        </w:rPr>
        <w:t>一般公共服务支出（类）民主党派及工商联事务（款）</w:t>
      </w:r>
      <w:r>
        <w:rPr>
          <w:rFonts w:hint="eastAsia" w:ascii="仿宋_GB2312" w:hAnsi="仿宋" w:eastAsia="仿宋_GB2312"/>
          <w:b/>
          <w:sz w:val="32"/>
          <w:szCs w:val="32"/>
          <w:lang w:eastAsia="zh-CN"/>
        </w:rPr>
        <w:t>其他民主党派及工商联事务支出</w:t>
      </w:r>
      <w:r>
        <w:rPr>
          <w:rFonts w:hint="eastAsia" w:ascii="仿宋_GB2312" w:hAnsi="仿宋" w:eastAsia="仿宋_GB2312"/>
          <w:b/>
          <w:sz w:val="32"/>
          <w:szCs w:val="32"/>
        </w:rPr>
        <w:t>（项）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7</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7</w:t>
      </w:r>
      <w:r>
        <w:rPr>
          <w:rFonts w:hint="eastAsia" w:ascii="仿宋_GB2312" w:hAnsi="仿宋" w:eastAsia="仿宋_GB2312"/>
          <w:sz w:val="32"/>
          <w:szCs w:val="32"/>
        </w:rPr>
        <w:t>万元，增长原因主要是</w:t>
      </w:r>
      <w:r>
        <w:rPr>
          <w:rFonts w:hint="eastAsia" w:ascii="仿宋_GB2312" w:hAnsi="仿宋" w:eastAsia="仿宋_GB2312"/>
          <w:sz w:val="32"/>
          <w:szCs w:val="32"/>
          <w:lang w:eastAsia="zh-CN"/>
        </w:rPr>
        <w:t>本年</w:t>
      </w:r>
      <w:r>
        <w:rPr>
          <w:rFonts w:hint="eastAsia" w:ascii="仿宋_GB2312" w:hAnsi="仿宋" w:eastAsia="仿宋_GB2312"/>
          <w:sz w:val="32"/>
          <w:szCs w:val="32"/>
          <w:highlight w:val="none"/>
          <w:lang w:eastAsia="zh-CN"/>
        </w:rPr>
        <w:t>新增项目</w:t>
      </w:r>
      <w:r>
        <w:rPr>
          <w:rFonts w:hint="eastAsia" w:ascii="仿宋_GB2312" w:hAnsi="仿宋" w:eastAsia="仿宋_GB2312"/>
          <w:sz w:val="32"/>
          <w:szCs w:val="32"/>
        </w:rPr>
        <w:t>经费。</w:t>
      </w:r>
    </w:p>
    <w:p>
      <w:pPr>
        <w:adjustRightInd w:val="0"/>
        <w:snapToGrid w:val="0"/>
        <w:spacing w:line="600" w:lineRule="exact"/>
        <w:ind w:firstLine="643" w:firstLineChars="200"/>
        <w:rPr>
          <w:rFonts w:ascii="仿宋_GB2312" w:hAnsi="仿宋" w:eastAsia="仿宋_GB2312"/>
          <w:sz w:val="32"/>
          <w:szCs w:val="32"/>
        </w:rPr>
      </w:pPr>
      <w:r>
        <w:rPr>
          <w:rFonts w:hint="eastAsia" w:ascii="仿宋_GB2312" w:hAnsi="仿宋" w:eastAsia="仿宋_GB2312"/>
          <w:b/>
          <w:sz w:val="32"/>
          <w:szCs w:val="32"/>
          <w:lang w:val="en-US" w:eastAsia="zh-CN"/>
        </w:rPr>
        <w:t>5</w:t>
      </w:r>
      <w:r>
        <w:rPr>
          <w:rFonts w:hint="eastAsia" w:ascii="仿宋_GB2312" w:hAnsi="仿宋" w:eastAsia="仿宋_GB2312"/>
          <w:b/>
          <w:sz w:val="32"/>
          <w:szCs w:val="32"/>
        </w:rPr>
        <w:t>.社会保障和就业支出（类）行政事业单位养老支出（款）机关事业单位基本养老保险缴费支出（项）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2.13</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年预算减少</w:t>
      </w:r>
      <w:r>
        <w:rPr>
          <w:rFonts w:hint="eastAsia" w:ascii="仿宋_GB2312" w:hAnsi="仿宋" w:eastAsia="仿宋_GB2312"/>
          <w:sz w:val="32"/>
          <w:szCs w:val="32"/>
          <w:lang w:val="en-US" w:eastAsia="zh-CN"/>
        </w:rPr>
        <w:t>0.22</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9.36</w:t>
      </w:r>
      <w:r>
        <w:rPr>
          <w:rFonts w:hint="eastAsia" w:ascii="仿宋_GB2312" w:hAnsi="仿宋" w:eastAsia="仿宋_GB2312"/>
          <w:sz w:val="32"/>
          <w:szCs w:val="32"/>
        </w:rPr>
        <w:t>%，下降原因主要是</w:t>
      </w:r>
      <w:r>
        <w:rPr>
          <w:rFonts w:hint="eastAsia" w:ascii="仿宋_GB2312" w:hAnsi="仿宋" w:eastAsia="仿宋_GB2312"/>
          <w:sz w:val="32"/>
          <w:szCs w:val="32"/>
          <w:highlight w:val="none"/>
          <w:lang w:eastAsia="zh-CN"/>
        </w:rPr>
        <w:t>人员变动</w:t>
      </w:r>
      <w:r>
        <w:rPr>
          <w:rFonts w:hint="eastAsia" w:ascii="仿宋_GB2312" w:hAnsi="仿宋" w:eastAsia="仿宋_GB2312"/>
          <w:sz w:val="32"/>
          <w:szCs w:val="32"/>
          <w:highlight w:val="none"/>
        </w:rPr>
        <w:t>。</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lang w:val="en-US" w:eastAsia="zh-CN"/>
        </w:rPr>
        <w:t>6</w:t>
      </w:r>
      <w:r>
        <w:rPr>
          <w:rFonts w:hint="eastAsia" w:ascii="仿宋_GB2312" w:hAnsi="仿宋" w:eastAsia="仿宋_GB2312"/>
          <w:b/>
          <w:sz w:val="32"/>
          <w:szCs w:val="32"/>
        </w:rPr>
        <w:t>.社会保障和就业支出（类）行政事业单位养老支出（款）机关事业单位职业年金缴费支出（项）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1.06</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1.06</w:t>
      </w:r>
      <w:r>
        <w:rPr>
          <w:rFonts w:hint="eastAsia" w:ascii="仿宋_GB2312" w:hAnsi="仿宋" w:eastAsia="仿宋_GB2312"/>
          <w:sz w:val="32"/>
          <w:szCs w:val="32"/>
        </w:rPr>
        <w:t>万元，增长原因主要是</w:t>
      </w:r>
      <w:r>
        <w:rPr>
          <w:rFonts w:hint="eastAsia" w:ascii="仿宋_GB2312" w:hAnsi="仿宋" w:eastAsia="仿宋_GB2312"/>
          <w:sz w:val="32"/>
          <w:szCs w:val="32"/>
          <w:lang w:eastAsia="zh-CN"/>
        </w:rPr>
        <w:t>按照省人社厅、省财政厅联合下发《关于调整财政全额供款机关事业单位职业年金单位缴费方式有关事项的通知》（财人社秘[2021]181号）要求，从2021年9月起省级财政全额供款单位职业年金实行实账缴费，从2022年起将此项支出编入当年预算</w:t>
      </w:r>
      <w:r>
        <w:rPr>
          <w:rFonts w:hint="eastAsia" w:ascii="仿宋_GB2312" w:hAnsi="仿宋" w:eastAsia="仿宋_GB2312"/>
          <w:sz w:val="32"/>
          <w:szCs w:val="32"/>
        </w:rPr>
        <w:t>。</w:t>
      </w:r>
    </w:p>
    <w:p>
      <w:pPr>
        <w:adjustRightInd w:val="0"/>
        <w:snapToGrid w:val="0"/>
        <w:spacing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lang w:val="en-US" w:eastAsia="zh-CN"/>
        </w:rPr>
        <w:t>7</w:t>
      </w:r>
      <w:r>
        <w:rPr>
          <w:rFonts w:hint="eastAsia" w:ascii="仿宋_GB2312" w:hAnsi="仿宋" w:eastAsia="仿宋_GB2312"/>
          <w:b/>
          <w:sz w:val="32"/>
          <w:szCs w:val="32"/>
        </w:rPr>
        <w:t>.卫生健康支出（类）行政事业单位医疗（款）行政单位医疗（项）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0.95</w:t>
      </w:r>
      <w:r>
        <w:rPr>
          <w:rFonts w:hint="eastAsia" w:ascii="仿宋_GB2312" w:hAnsi="仿宋" w:eastAsia="仿宋_GB2312"/>
          <w:sz w:val="32"/>
          <w:szCs w:val="32"/>
        </w:rPr>
        <w:t>万元，</w:t>
      </w:r>
      <w:r>
        <w:rPr>
          <w:rFonts w:hint="eastAsia" w:ascii="仿宋_GB2312" w:hAnsi="仿宋" w:eastAsia="仿宋_GB2312" w:cs="仿宋_GB2312"/>
          <w:kern w:val="2"/>
          <w:sz w:val="32"/>
          <w:szCs w:val="32"/>
          <w:lang w:val="en-US" w:eastAsia="zh-CN" w:bidi="ar"/>
        </w:rPr>
        <w:t>与2021年预算持平。</w:t>
      </w:r>
    </w:p>
    <w:p>
      <w:pPr>
        <w:adjustRightInd w:val="0"/>
        <w:snapToGrid w:val="0"/>
        <w:spacing w:line="600" w:lineRule="exact"/>
        <w:ind w:firstLine="643" w:firstLineChars="200"/>
        <w:rPr>
          <w:rFonts w:hint="eastAsia" w:ascii="仿宋_GB2312" w:hAnsi="仿宋" w:eastAsia="仿宋_GB2312"/>
          <w:sz w:val="32"/>
          <w:szCs w:val="32"/>
          <w:highlight w:val="yellow"/>
        </w:rPr>
      </w:pPr>
      <w:r>
        <w:rPr>
          <w:rFonts w:hint="eastAsia" w:ascii="仿宋_GB2312" w:hAnsi="仿宋" w:eastAsia="仿宋_GB2312"/>
          <w:b/>
          <w:sz w:val="32"/>
          <w:szCs w:val="32"/>
          <w:lang w:val="en-US" w:eastAsia="zh-CN"/>
        </w:rPr>
        <w:t>8.卫生健康支出（类）行政事业单位医疗（款）公务员医疗补助（项）</w:t>
      </w:r>
      <w:r>
        <w:rPr>
          <w:rFonts w:hint="eastAsia" w:ascii="仿宋_GB2312" w:hAnsi="仿宋" w:eastAsia="仿宋_GB2312"/>
          <w:sz w:val="32"/>
          <w:szCs w:val="32"/>
          <w:lang w:eastAsia="zh-CN"/>
        </w:rPr>
        <w:t>2022年预算</w:t>
      </w:r>
      <w:r>
        <w:rPr>
          <w:rFonts w:hint="eastAsia" w:ascii="仿宋_GB2312" w:hAnsi="仿宋" w:eastAsia="仿宋_GB2312"/>
          <w:sz w:val="32"/>
          <w:szCs w:val="32"/>
          <w:lang w:val="en-US" w:eastAsia="zh-CN"/>
        </w:rPr>
        <w:t>0.40</w:t>
      </w:r>
      <w:r>
        <w:rPr>
          <w:rFonts w:hint="eastAsia" w:ascii="仿宋_GB2312" w:hAnsi="仿宋" w:eastAsia="仿宋_GB2312"/>
          <w:sz w:val="32"/>
          <w:szCs w:val="32"/>
          <w:lang w:eastAsia="zh-CN"/>
        </w:rPr>
        <w:t>万元，比2021年预算减少</w:t>
      </w:r>
      <w:r>
        <w:rPr>
          <w:rFonts w:hint="eastAsia" w:ascii="仿宋_GB2312" w:hAnsi="仿宋" w:eastAsia="仿宋_GB2312"/>
          <w:sz w:val="32"/>
          <w:szCs w:val="32"/>
          <w:lang w:val="en-US" w:eastAsia="zh-CN"/>
        </w:rPr>
        <w:t>0.04</w:t>
      </w:r>
      <w:r>
        <w:rPr>
          <w:rFonts w:hint="eastAsia" w:ascii="仿宋_GB2312" w:hAnsi="仿宋" w:eastAsia="仿宋_GB2312"/>
          <w:sz w:val="32"/>
          <w:szCs w:val="32"/>
          <w:lang w:eastAsia="zh-CN"/>
        </w:rPr>
        <w:t>万元，下降</w:t>
      </w:r>
      <w:r>
        <w:rPr>
          <w:rFonts w:hint="eastAsia" w:ascii="仿宋_GB2312" w:hAnsi="仿宋" w:eastAsia="仿宋_GB2312"/>
          <w:sz w:val="32"/>
          <w:szCs w:val="32"/>
          <w:lang w:val="en-US" w:eastAsia="zh-CN"/>
        </w:rPr>
        <w:t>9.09</w:t>
      </w:r>
      <w:r>
        <w:rPr>
          <w:rFonts w:hint="eastAsia" w:ascii="仿宋_GB2312" w:hAnsi="仿宋" w:eastAsia="仿宋_GB2312"/>
          <w:sz w:val="32"/>
          <w:szCs w:val="32"/>
          <w:lang w:eastAsia="zh-CN"/>
        </w:rPr>
        <w:t>%，下降原因主要是人员</w:t>
      </w:r>
      <w:r>
        <w:rPr>
          <w:rFonts w:hint="eastAsia" w:ascii="仿宋_GB2312" w:hAnsi="仿宋" w:eastAsia="仿宋_GB2312"/>
          <w:sz w:val="32"/>
          <w:szCs w:val="32"/>
          <w:highlight w:val="none"/>
          <w:lang w:eastAsia="zh-CN"/>
        </w:rPr>
        <w:t>变动</w:t>
      </w:r>
      <w:r>
        <w:rPr>
          <w:rFonts w:hint="eastAsia" w:ascii="仿宋_GB2312" w:hAnsi="仿宋" w:eastAsia="仿宋_GB2312"/>
          <w:sz w:val="32"/>
          <w:szCs w:val="32"/>
          <w:highlight w:val="none"/>
        </w:rPr>
        <w:t>。</w:t>
      </w:r>
    </w:p>
    <w:p>
      <w:pPr>
        <w:pStyle w:val="4"/>
        <w:adjustRightInd w:val="0"/>
        <w:snapToGrid w:val="0"/>
        <w:spacing w:before="0" w:beforeAutospacing="0" w:after="0" w:afterAutospacing="0" w:line="600" w:lineRule="exact"/>
        <w:ind w:firstLine="643" w:firstLineChars="200"/>
        <w:rPr>
          <w:rFonts w:hint="eastAsia" w:ascii="仿宋_GB2312" w:hAnsi="仿宋" w:eastAsia="仿宋_GB2312"/>
          <w:sz w:val="32"/>
          <w:szCs w:val="32"/>
        </w:rPr>
      </w:pPr>
      <w:r>
        <w:rPr>
          <w:rFonts w:hint="eastAsia" w:ascii="仿宋_GB2312" w:hAnsi="仿宋" w:eastAsia="仿宋_GB2312"/>
          <w:b/>
          <w:sz w:val="32"/>
          <w:szCs w:val="32"/>
          <w:lang w:val="en-US" w:eastAsia="zh-CN"/>
        </w:rPr>
        <w:t>9</w:t>
      </w:r>
      <w:r>
        <w:rPr>
          <w:rFonts w:hint="eastAsia" w:ascii="仿宋_GB2312" w:hAnsi="仿宋" w:eastAsia="仿宋_GB2312"/>
          <w:b/>
          <w:sz w:val="32"/>
          <w:szCs w:val="32"/>
        </w:rPr>
        <w:t>.住房保障支出（类）住房改革支出（款）住房公积金（项）</w:t>
      </w:r>
      <w:r>
        <w:rPr>
          <w:rFonts w:hint="eastAsia" w:ascii="仿宋_GB2312" w:hAnsi="仿宋" w:eastAsia="仿宋_GB2312"/>
          <w:sz w:val="32"/>
          <w:szCs w:val="32"/>
          <w:lang w:eastAsia="zh-CN"/>
        </w:rPr>
        <w:t>2022</w:t>
      </w:r>
      <w:r>
        <w:rPr>
          <w:rFonts w:hint="eastAsia" w:ascii="仿宋_GB2312" w:hAnsi="仿宋" w:eastAsia="仿宋_GB2312"/>
          <w:sz w:val="32"/>
          <w:szCs w:val="32"/>
        </w:rPr>
        <w:t>年预算</w:t>
      </w:r>
      <w:r>
        <w:rPr>
          <w:rFonts w:hint="eastAsia" w:ascii="仿宋_GB2312" w:hAnsi="仿宋" w:eastAsia="仿宋_GB2312"/>
          <w:sz w:val="32"/>
          <w:szCs w:val="32"/>
          <w:lang w:val="en-US" w:eastAsia="zh-CN"/>
        </w:rPr>
        <w:t>2.79</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1.11</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66.07</w:t>
      </w:r>
      <w:r>
        <w:rPr>
          <w:rFonts w:hint="eastAsia" w:ascii="仿宋_GB2312" w:hAnsi="仿宋" w:eastAsia="仿宋_GB2312"/>
          <w:sz w:val="32"/>
          <w:szCs w:val="32"/>
        </w:rPr>
        <w:t>%，增长原因主要是</w:t>
      </w:r>
      <w:r>
        <w:rPr>
          <w:rFonts w:hint="eastAsia" w:ascii="仿宋_GB2312" w:hAnsi="仿宋" w:eastAsia="仿宋_GB2312"/>
          <w:sz w:val="32"/>
          <w:szCs w:val="32"/>
          <w:lang w:eastAsia="zh-CN"/>
        </w:rPr>
        <w:t>住房公积金缴费基数增加</w:t>
      </w:r>
      <w:r>
        <w:rPr>
          <w:rFonts w:hint="eastAsia" w:ascii="仿宋_GB2312" w:hAnsi="仿宋" w:eastAsia="仿宋_GB2312"/>
          <w:sz w:val="32"/>
          <w:szCs w:val="32"/>
        </w:rPr>
        <w:t>。</w:t>
      </w:r>
    </w:p>
    <w:p>
      <w:pPr>
        <w:pStyle w:val="4"/>
        <w:adjustRightInd w:val="0"/>
        <w:snapToGrid w:val="0"/>
        <w:spacing w:before="0" w:beforeAutospacing="0" w:after="0" w:afterAutospacing="0" w:line="600" w:lineRule="exact"/>
        <w:ind w:firstLine="640" w:firstLineChars="200"/>
        <w:rPr>
          <w:rFonts w:ascii="黑体" w:eastAsia="黑体"/>
          <w:color w:val="000000" w:themeColor="text1"/>
          <w14:textFill>
            <w14:solidFill>
              <w14:schemeClr w14:val="tx1"/>
            </w14:solidFill>
          </w14:textFill>
        </w:rPr>
      </w:pPr>
      <w:r>
        <w:rPr>
          <w:rFonts w:hint="eastAsia" w:ascii="黑体" w:hAnsi="仿宋" w:eastAsia="黑体" w:cs="Times New Roman"/>
          <w:color w:val="000000" w:themeColor="text1"/>
          <w:kern w:val="2"/>
          <w:sz w:val="32"/>
          <w:szCs w:val="32"/>
          <w14:textFill>
            <w14:solidFill>
              <w14:schemeClr w14:val="tx1"/>
            </w14:solidFill>
          </w14:textFill>
        </w:rPr>
        <w:t>六、关于</w:t>
      </w:r>
      <w:r>
        <w:rPr>
          <w:rFonts w:hint="eastAsia" w:ascii="黑体" w:hAnsi="仿宋" w:eastAsia="黑体" w:cs="Times New Roman"/>
          <w:color w:val="000000" w:themeColor="text1"/>
          <w:kern w:val="2"/>
          <w:sz w:val="32"/>
          <w:szCs w:val="32"/>
          <w:lang w:eastAsia="zh-CN"/>
          <w14:textFill>
            <w14:solidFill>
              <w14:schemeClr w14:val="tx1"/>
            </w14:solidFill>
          </w14:textFill>
        </w:rPr>
        <w:t>2022</w:t>
      </w:r>
      <w:r>
        <w:rPr>
          <w:rFonts w:hint="eastAsia" w:ascii="黑体" w:hAnsi="仿宋" w:eastAsia="黑体" w:cs="Times New Roman"/>
          <w:color w:val="000000" w:themeColor="text1"/>
          <w:kern w:val="2"/>
          <w:sz w:val="32"/>
          <w:szCs w:val="32"/>
          <w14:textFill>
            <w14:solidFill>
              <w14:schemeClr w14:val="tx1"/>
            </w14:solidFill>
          </w14:textFill>
        </w:rPr>
        <w:t>年一般公共预算基本支出表的说明</w:t>
      </w:r>
    </w:p>
    <w:p>
      <w:pPr>
        <w:ind w:firstLine="640" w:firstLineChars="200"/>
        <w:rPr>
          <w:rFonts w:ascii="仿宋_GB2312" w:hAnsi="仿宋" w:eastAsia="仿宋_GB231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年一般公共预算基本支出</w:t>
      </w:r>
      <w:r>
        <w:rPr>
          <w:rFonts w:hint="eastAsia" w:ascii="仿宋_GB2312" w:hAnsi="仿宋" w:eastAsia="仿宋_GB2312"/>
          <w:sz w:val="32"/>
          <w:szCs w:val="32"/>
          <w:lang w:val="en-US" w:eastAsia="zh-CN"/>
        </w:rPr>
        <w:t>30.33</w:t>
      </w:r>
      <w:r>
        <w:rPr>
          <w:rFonts w:hint="eastAsia" w:ascii="仿宋_GB2312" w:hAnsi="仿宋" w:eastAsia="仿宋_GB2312"/>
          <w:sz w:val="32"/>
          <w:szCs w:val="32"/>
        </w:rPr>
        <w:t>万元，其中，人员经费</w:t>
      </w:r>
      <w:r>
        <w:rPr>
          <w:rFonts w:hint="eastAsia" w:ascii="仿宋_GB2312" w:hAnsi="仿宋" w:eastAsia="仿宋_GB2312"/>
          <w:sz w:val="32"/>
          <w:szCs w:val="32"/>
          <w:lang w:val="en-US" w:eastAsia="zh-CN"/>
        </w:rPr>
        <w:t>20.76</w:t>
      </w:r>
      <w:r>
        <w:rPr>
          <w:rFonts w:hint="eastAsia" w:ascii="仿宋_GB2312" w:hAnsi="仿宋" w:eastAsia="仿宋_GB2312"/>
          <w:sz w:val="32"/>
          <w:szCs w:val="32"/>
        </w:rPr>
        <w:t>万元，公用经费</w:t>
      </w:r>
      <w:r>
        <w:rPr>
          <w:rFonts w:hint="eastAsia" w:ascii="仿宋_GB2312" w:hAnsi="仿宋" w:eastAsia="仿宋_GB2312"/>
          <w:sz w:val="32"/>
          <w:szCs w:val="32"/>
          <w:lang w:val="en-US" w:eastAsia="zh-CN"/>
        </w:rPr>
        <w:t>9.57</w:t>
      </w:r>
      <w:r>
        <w:rPr>
          <w:rFonts w:hint="eastAsia" w:ascii="仿宋_GB2312" w:hAnsi="仿宋" w:eastAsia="仿宋_GB2312"/>
          <w:sz w:val="32"/>
          <w:szCs w:val="32"/>
        </w:rPr>
        <w:t>万元。</w:t>
      </w:r>
    </w:p>
    <w:p>
      <w:pPr>
        <w:ind w:firstLine="640" w:firstLineChars="200"/>
        <w:rPr>
          <w:rFonts w:ascii="仿宋_GB2312" w:hAnsi="仿宋" w:eastAsia="仿宋_GB2312"/>
          <w:sz w:val="32"/>
          <w:szCs w:val="32"/>
          <w:u w:val="none"/>
        </w:rPr>
      </w:pPr>
      <w:r>
        <w:rPr>
          <w:rFonts w:hint="eastAsia" w:ascii="仿宋_GB2312" w:hAnsi="仿宋" w:eastAsia="仿宋_GB2312"/>
          <w:sz w:val="32"/>
          <w:szCs w:val="32"/>
        </w:rPr>
        <w:t>（一）人员经费</w:t>
      </w:r>
      <w:r>
        <w:rPr>
          <w:rFonts w:hint="eastAsia" w:ascii="仿宋_GB2312" w:hAnsi="仿宋" w:eastAsia="仿宋_GB2312"/>
          <w:sz w:val="32"/>
          <w:szCs w:val="32"/>
          <w:lang w:val="en-US" w:eastAsia="zh-CN"/>
        </w:rPr>
        <w:t>20.76</w:t>
      </w:r>
      <w:r>
        <w:rPr>
          <w:rFonts w:hint="eastAsia" w:ascii="仿宋_GB2312" w:hAnsi="仿宋" w:eastAsia="仿宋_GB2312"/>
          <w:sz w:val="32"/>
          <w:szCs w:val="32"/>
        </w:rPr>
        <w:t>万元，主要包括:</w:t>
      </w:r>
      <w:r>
        <w:rPr>
          <w:rFonts w:hint="eastAsia" w:ascii="仿宋_GB2312" w:hAnsi="仿宋" w:eastAsia="仿宋_GB2312"/>
          <w:sz w:val="32"/>
          <w:szCs w:val="32"/>
          <w:u w:val="none"/>
        </w:rPr>
        <w:t>基本工资、津贴补贴、奖金、机关事业单位基本养老保险</w:t>
      </w:r>
      <w:r>
        <w:rPr>
          <w:rFonts w:hint="eastAsia" w:ascii="仿宋_GB2312" w:hAnsi="仿宋" w:eastAsia="仿宋_GB2312"/>
          <w:sz w:val="32"/>
          <w:szCs w:val="32"/>
          <w:u w:val="none"/>
          <w:lang w:eastAsia="zh-CN"/>
        </w:rPr>
        <w:t>缴</w:t>
      </w:r>
      <w:r>
        <w:rPr>
          <w:rFonts w:hint="eastAsia" w:ascii="仿宋_GB2312" w:hAnsi="仿宋" w:eastAsia="仿宋_GB2312"/>
          <w:sz w:val="32"/>
          <w:szCs w:val="32"/>
          <w:u w:val="none"/>
        </w:rPr>
        <w:t>费、职业年金缴费、职工基本医疗保险缴费、公务员医疗补助缴费、其他社会保障缴费、住房公积金。</w:t>
      </w:r>
    </w:p>
    <w:p>
      <w:pPr>
        <w:ind w:firstLine="640" w:firstLineChars="200"/>
        <w:rPr>
          <w:rFonts w:ascii="楷体_GB2312" w:hAnsi="仿宋" w:eastAsia="楷体_GB2312"/>
          <w:sz w:val="32"/>
          <w:szCs w:val="32"/>
        </w:rPr>
      </w:pPr>
      <w:r>
        <w:rPr>
          <w:rFonts w:hint="eastAsia" w:ascii="仿宋_GB2312" w:hAnsi="仿宋" w:eastAsia="仿宋_GB2312"/>
          <w:sz w:val="32"/>
          <w:szCs w:val="32"/>
        </w:rPr>
        <w:t>（二）公用经费</w:t>
      </w:r>
      <w:r>
        <w:rPr>
          <w:rFonts w:hint="eastAsia" w:ascii="仿宋_GB2312" w:hAnsi="仿宋" w:eastAsia="仿宋_GB2312"/>
          <w:sz w:val="32"/>
          <w:szCs w:val="32"/>
          <w:lang w:val="en-US" w:eastAsia="zh-CN"/>
        </w:rPr>
        <w:t>9.57</w:t>
      </w:r>
      <w:r>
        <w:rPr>
          <w:rFonts w:hint="eastAsia" w:ascii="仿宋_GB2312" w:hAnsi="仿宋" w:eastAsia="仿宋_GB2312"/>
          <w:sz w:val="32"/>
          <w:szCs w:val="32"/>
        </w:rPr>
        <w:t>万元，主要包括：</w:t>
      </w:r>
      <w:r>
        <w:rPr>
          <w:rFonts w:hint="eastAsia" w:ascii="仿宋_GB2312" w:hAnsi="仿宋" w:eastAsia="仿宋_GB2312"/>
          <w:sz w:val="32"/>
          <w:szCs w:val="32"/>
          <w:u w:val="none"/>
        </w:rPr>
        <w:t>办公费、邮电费、物业管理费、差旅费、维修（护）费、会议费、公务接待费、劳务费、工会经费、福利费、其他交通费用</w:t>
      </w:r>
      <w:r>
        <w:rPr>
          <w:rFonts w:hint="eastAsia" w:ascii="仿宋_GB2312" w:hAnsi="仿宋" w:eastAsia="仿宋_GB2312"/>
          <w:sz w:val="32"/>
          <w:szCs w:val="32"/>
          <w:u w:val="none"/>
          <w:lang w:eastAsia="zh-CN"/>
        </w:rPr>
        <w:t>。</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七、关于</w:t>
      </w:r>
      <w:r>
        <w:rPr>
          <w:rFonts w:hint="eastAsia" w:ascii="黑体" w:hAnsi="仿宋" w:eastAsia="黑体"/>
          <w:sz w:val="32"/>
          <w:szCs w:val="32"/>
          <w:lang w:eastAsia="zh-CN"/>
        </w:rPr>
        <w:t>2022</w:t>
      </w:r>
      <w:r>
        <w:rPr>
          <w:rFonts w:hint="eastAsia" w:ascii="黑体" w:hAnsi="仿宋" w:eastAsia="黑体"/>
          <w:sz w:val="32"/>
          <w:szCs w:val="32"/>
        </w:rPr>
        <w:t>年政府性基金预算支出表的说明</w:t>
      </w:r>
    </w:p>
    <w:p>
      <w:pPr>
        <w:pStyle w:val="4"/>
        <w:keepNext w:val="0"/>
        <w:keepLines w:val="0"/>
        <w:pageBreakBefore w:val="0"/>
        <w:widowControl/>
        <w:kinsoku/>
        <w:wordWrap/>
        <w:overflowPunct/>
        <w:topLinePunct w:val="0"/>
        <w:autoSpaceDE/>
        <w:autoSpaceDN/>
        <w:bidi w:val="0"/>
        <w:adjustRightInd w:val="0"/>
        <w:snapToGrid w:val="0"/>
        <w:spacing w:before="0" w:beforeAutospacing="0" w:after="0" w:afterAutospacing="0" w:line="580" w:lineRule="exact"/>
        <w:ind w:left="0" w:leftChars="0" w:right="0" w:rightChars="0" w:firstLine="0" w:firstLineChars="0"/>
        <w:jc w:val="both"/>
        <w:textAlignment w:val="auto"/>
        <w:outlineLvl w:val="9"/>
        <w:rPr>
          <w:rFonts w:ascii="仿宋_GB2312" w:hAnsi="仿宋" w:eastAsia="仿宋_GB2312"/>
          <w:sz w:val="32"/>
          <w:szCs w:val="32"/>
        </w:rPr>
      </w:pPr>
      <w:r>
        <w:rPr>
          <w:rFonts w:hint="eastAsia" w:ascii="仿宋_GB2312" w:hAnsi="仿宋" w:eastAsia="仿宋_GB2312"/>
          <w:sz w:val="32"/>
          <w:szCs w:val="32"/>
          <w:lang w:val="en-US" w:eastAsia="zh-CN"/>
        </w:rPr>
        <w:t xml:space="preserve">    </w:t>
      </w: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年没有政府性基金预算拨款收入，也没有使用政府性基金预算拨款安排的支出。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八、关于</w:t>
      </w:r>
      <w:r>
        <w:rPr>
          <w:rFonts w:hint="eastAsia" w:ascii="黑体" w:hAnsi="仿宋" w:eastAsia="黑体"/>
          <w:sz w:val="32"/>
          <w:szCs w:val="32"/>
          <w:lang w:eastAsia="zh-CN"/>
        </w:rPr>
        <w:t>2022</w:t>
      </w:r>
      <w:r>
        <w:rPr>
          <w:rFonts w:hint="eastAsia" w:ascii="黑体" w:hAnsi="仿宋" w:eastAsia="黑体"/>
          <w:sz w:val="32"/>
          <w:szCs w:val="32"/>
        </w:rPr>
        <w:t>年国有资本经营预算支出表的说明</w:t>
      </w:r>
    </w:p>
    <w:p>
      <w:pPr>
        <w:pStyle w:val="4"/>
        <w:adjustRightInd w:val="0"/>
        <w:snapToGrid w:val="0"/>
        <w:spacing w:before="0" w:beforeAutospacing="0" w:after="0" w:afterAutospacing="0" w:line="600" w:lineRule="exact"/>
        <w:rPr>
          <w:rFonts w:ascii="仿宋_GB2312" w:hAnsi="仿宋" w:eastAsia="仿宋_GB2312"/>
          <w:sz w:val="32"/>
          <w:szCs w:val="32"/>
        </w:rPr>
      </w:pPr>
      <w:r>
        <w:rPr>
          <w:rFonts w:hint="eastAsia" w:ascii="仿宋_GB2312" w:hAnsi="仿宋" w:eastAsia="仿宋_GB2312"/>
          <w:sz w:val="32"/>
          <w:szCs w:val="32"/>
          <w:lang w:val="en-US" w:eastAsia="zh-CN"/>
        </w:rPr>
        <w:t xml:space="preserve">   </w:t>
      </w: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年没有国有资本经营预算拨款收入，也没有使用国有资本经营预算拨款安排的支出。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九、关于</w:t>
      </w:r>
      <w:r>
        <w:rPr>
          <w:rFonts w:hint="eastAsia" w:ascii="黑体" w:hAnsi="仿宋" w:eastAsia="黑体"/>
          <w:sz w:val="32"/>
          <w:szCs w:val="32"/>
          <w:lang w:eastAsia="zh-CN"/>
        </w:rPr>
        <w:t>2022</w:t>
      </w:r>
      <w:r>
        <w:rPr>
          <w:rFonts w:hint="eastAsia" w:ascii="黑体" w:hAnsi="仿宋" w:eastAsia="黑体"/>
          <w:sz w:val="32"/>
          <w:szCs w:val="32"/>
        </w:rPr>
        <w:t>年项目支出表的说明</w:t>
      </w:r>
    </w:p>
    <w:p>
      <w:pPr>
        <w:adjustRightInd w:val="0"/>
        <w:snapToGrid w:val="0"/>
        <w:spacing w:line="600" w:lineRule="exact"/>
        <w:ind w:firstLine="640" w:firstLineChars="200"/>
        <w:rPr>
          <w:rFonts w:hint="eastAsia" w:ascii="仿宋_GB2312" w:hAnsi="仿宋" w:eastAsia="仿宋_GB2312"/>
          <w:sz w:val="32"/>
          <w:szCs w:val="32"/>
          <w:lang w:eastAsia="zh-CN"/>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年预算共安排项目支出</w:t>
      </w:r>
      <w:r>
        <w:rPr>
          <w:rFonts w:hint="eastAsia" w:ascii="仿宋_GB2312" w:hAnsi="仿宋" w:eastAsia="仿宋_GB2312"/>
          <w:sz w:val="32"/>
          <w:szCs w:val="32"/>
          <w:lang w:val="en-US" w:eastAsia="zh-CN"/>
        </w:rPr>
        <w:t>19.90</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年预算增加</w:t>
      </w:r>
      <w:r>
        <w:rPr>
          <w:rFonts w:hint="eastAsia" w:ascii="仿宋_GB2312" w:hAnsi="仿宋" w:eastAsia="仿宋_GB2312"/>
          <w:sz w:val="32"/>
          <w:szCs w:val="32"/>
          <w:lang w:val="en-US" w:eastAsia="zh-CN"/>
        </w:rPr>
        <w:t>7.00</w:t>
      </w:r>
      <w:r>
        <w:rPr>
          <w:rFonts w:hint="eastAsia" w:ascii="仿宋_GB2312" w:hAnsi="仿宋" w:eastAsia="仿宋_GB2312"/>
          <w:sz w:val="32"/>
          <w:szCs w:val="32"/>
        </w:rPr>
        <w:t>万元，增长</w:t>
      </w:r>
      <w:r>
        <w:rPr>
          <w:rFonts w:hint="eastAsia" w:ascii="仿宋_GB2312" w:hAnsi="仿宋" w:eastAsia="仿宋_GB2312"/>
          <w:sz w:val="32"/>
          <w:szCs w:val="32"/>
          <w:lang w:val="en-US" w:eastAsia="zh-CN"/>
        </w:rPr>
        <w:t>54.26</w:t>
      </w:r>
      <w:r>
        <w:rPr>
          <w:rFonts w:hint="eastAsia" w:ascii="仿宋_GB2312" w:hAnsi="仿宋" w:eastAsia="仿宋_GB2312"/>
          <w:sz w:val="32"/>
          <w:szCs w:val="32"/>
        </w:rPr>
        <w:t>%，增长原因主要是</w:t>
      </w:r>
      <w:r>
        <w:rPr>
          <w:rFonts w:hint="eastAsia" w:ascii="仿宋_GB2312" w:hAnsi="仿宋" w:eastAsia="仿宋_GB2312"/>
          <w:sz w:val="32"/>
          <w:szCs w:val="32"/>
          <w:highlight w:val="none"/>
          <w:lang w:eastAsia="zh-CN"/>
        </w:rPr>
        <w:t>新增项目</w:t>
      </w:r>
      <w:r>
        <w:rPr>
          <w:rFonts w:hint="eastAsia" w:ascii="仿宋_GB2312" w:hAnsi="仿宋" w:eastAsia="仿宋_GB2312"/>
          <w:sz w:val="32"/>
          <w:szCs w:val="32"/>
        </w:rPr>
        <w:t>经费。主要包括：本年财政拨款安排</w:t>
      </w:r>
      <w:r>
        <w:rPr>
          <w:rFonts w:hint="eastAsia" w:ascii="仿宋_GB2312" w:hAnsi="仿宋" w:eastAsia="仿宋_GB2312"/>
          <w:sz w:val="32"/>
          <w:szCs w:val="32"/>
          <w:lang w:val="en-US" w:eastAsia="zh-CN"/>
        </w:rPr>
        <w:t>19.90</w:t>
      </w:r>
      <w:r>
        <w:rPr>
          <w:rFonts w:hint="eastAsia" w:ascii="仿宋_GB2312" w:hAnsi="仿宋" w:eastAsia="仿宋_GB2312"/>
          <w:sz w:val="32"/>
          <w:szCs w:val="32"/>
        </w:rPr>
        <w:t>万元（其中，一般公共预算拨款安排</w:t>
      </w:r>
      <w:r>
        <w:rPr>
          <w:rFonts w:hint="eastAsia" w:ascii="仿宋_GB2312" w:hAnsi="仿宋" w:eastAsia="仿宋_GB2312"/>
          <w:sz w:val="32"/>
          <w:szCs w:val="32"/>
          <w:lang w:val="en-US" w:eastAsia="zh-CN"/>
        </w:rPr>
        <w:t>19.90</w:t>
      </w:r>
      <w:r>
        <w:rPr>
          <w:rFonts w:hint="eastAsia" w:ascii="仿宋_GB2312" w:hAnsi="仿宋" w:eastAsia="仿宋_GB2312"/>
          <w:sz w:val="32"/>
          <w:szCs w:val="32"/>
        </w:rPr>
        <w:t>万元，政府性基金预算拨款安排</w:t>
      </w:r>
      <w:r>
        <w:rPr>
          <w:rFonts w:ascii="仿宋_GB2312" w:hAnsi="仿宋" w:eastAsia="仿宋_GB2312"/>
          <w:sz w:val="32"/>
          <w:szCs w:val="32"/>
        </w:rPr>
        <w:t>0</w:t>
      </w:r>
      <w:r>
        <w:rPr>
          <w:rFonts w:hint="eastAsia" w:ascii="仿宋_GB2312" w:hAnsi="仿宋" w:eastAsia="仿宋_GB2312"/>
          <w:sz w:val="32"/>
          <w:szCs w:val="32"/>
        </w:rPr>
        <w:t>万元，国有资本经营预算拨款安排</w:t>
      </w:r>
      <w:r>
        <w:rPr>
          <w:rFonts w:ascii="仿宋_GB2312" w:hAnsi="仿宋" w:eastAsia="仿宋_GB2312"/>
          <w:sz w:val="32"/>
          <w:szCs w:val="32"/>
        </w:rPr>
        <w:t>0</w:t>
      </w:r>
      <w:r>
        <w:rPr>
          <w:rFonts w:hint="eastAsia" w:ascii="仿宋_GB2312" w:hAnsi="仿宋" w:eastAsia="仿宋_GB2312"/>
          <w:sz w:val="32"/>
          <w:szCs w:val="32"/>
        </w:rPr>
        <w:t>万元）。</w:t>
      </w:r>
      <w:r>
        <w:rPr>
          <w:rFonts w:ascii="仿宋_GB2312" w:hAnsi="仿宋" w:eastAsia="仿宋_GB2312"/>
          <w:sz w:val="32"/>
          <w:szCs w:val="32"/>
        </w:rPr>
        <w:t xml:space="preserve"> </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十、关于</w:t>
      </w:r>
      <w:r>
        <w:rPr>
          <w:rFonts w:hint="eastAsia" w:ascii="黑体" w:hAnsi="仿宋" w:eastAsia="黑体"/>
          <w:sz w:val="32"/>
          <w:szCs w:val="32"/>
          <w:lang w:eastAsia="zh-CN"/>
        </w:rPr>
        <w:t>2022</w:t>
      </w:r>
      <w:r>
        <w:rPr>
          <w:rFonts w:hint="eastAsia" w:ascii="黑体" w:hAnsi="仿宋" w:eastAsia="黑体"/>
          <w:sz w:val="32"/>
          <w:szCs w:val="32"/>
        </w:rPr>
        <w:t>年政府采购支出表的说明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年没有使用一般公共预算拨款、政府性基金预算拨款、国有资本经营预算拨款、财政专户管理资金和单位资金安排的政府采购支出。</w:t>
      </w:r>
    </w:p>
    <w:p>
      <w:pPr>
        <w:pStyle w:val="4"/>
        <w:adjustRightInd w:val="0"/>
        <w:snapToGrid w:val="0"/>
        <w:spacing w:before="0" w:beforeAutospacing="0" w:after="0" w:afterAutospacing="0" w:line="600" w:lineRule="exact"/>
        <w:ind w:firstLine="640" w:firstLineChars="200"/>
        <w:rPr>
          <w:rFonts w:ascii="黑体" w:hAnsi="仿宋" w:eastAsia="黑体"/>
          <w:sz w:val="32"/>
          <w:szCs w:val="32"/>
        </w:rPr>
      </w:pPr>
      <w:r>
        <w:rPr>
          <w:rFonts w:hint="eastAsia" w:ascii="黑体" w:hAnsi="仿宋" w:eastAsia="黑体"/>
          <w:sz w:val="32"/>
          <w:szCs w:val="32"/>
        </w:rPr>
        <w:t>十一、关于</w:t>
      </w:r>
      <w:r>
        <w:rPr>
          <w:rFonts w:hint="eastAsia" w:ascii="黑体" w:hAnsi="仿宋" w:eastAsia="黑体"/>
          <w:sz w:val="32"/>
          <w:szCs w:val="32"/>
          <w:lang w:eastAsia="zh-CN"/>
        </w:rPr>
        <w:t>2022</w:t>
      </w:r>
      <w:r>
        <w:rPr>
          <w:rFonts w:hint="eastAsia" w:ascii="黑体" w:hAnsi="仿宋" w:eastAsia="黑体"/>
          <w:sz w:val="32"/>
          <w:szCs w:val="32"/>
        </w:rPr>
        <w:t>年政府购买服务支出表的说明</w:t>
      </w:r>
    </w:p>
    <w:p>
      <w:pPr>
        <w:pStyle w:val="4"/>
        <w:adjustRightInd w:val="0"/>
        <w:snapToGrid w:val="0"/>
        <w:spacing w:before="0" w:beforeAutospacing="0" w:after="0" w:afterAutospacing="0" w:line="600" w:lineRule="exact"/>
        <w:ind w:firstLine="640" w:firstLineChars="200"/>
        <w:outlineLvl w:val="0"/>
        <w:rPr>
          <w:rFonts w:ascii="仿宋_GB2312" w:hAnsi="仿宋" w:eastAsia="仿宋_GB231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年没有安排政府购买服务支出。</w:t>
      </w:r>
    </w:p>
    <w:p>
      <w:pPr>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十二、其他重要事项情况说明</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w:t>
      </w:r>
      <w:r>
        <w:rPr>
          <w:rFonts w:hint="eastAsia" w:ascii="仿宋_GB2312" w:hAnsi="楷体" w:eastAsia="仿宋_GB2312"/>
          <w:b/>
          <w:sz w:val="32"/>
          <w:szCs w:val="32"/>
          <w:lang w:eastAsia="zh-CN"/>
        </w:rPr>
        <w:t>一</w:t>
      </w:r>
      <w:r>
        <w:rPr>
          <w:rFonts w:hint="eastAsia" w:ascii="仿宋_GB2312" w:hAnsi="楷体" w:eastAsia="仿宋_GB2312"/>
          <w:b/>
          <w:sz w:val="32"/>
          <w:szCs w:val="32"/>
        </w:rPr>
        <w:t>）绩效目标设置情况。</w:t>
      </w:r>
    </w:p>
    <w:p>
      <w:pPr>
        <w:adjustRightInd w:val="0"/>
        <w:snapToGrid w:val="0"/>
        <w:spacing w:line="600" w:lineRule="exact"/>
        <w:ind w:firstLine="640" w:firstLineChars="200"/>
        <w:outlineLvl w:val="0"/>
        <w:rPr>
          <w:rFonts w:ascii="仿宋_GB2312" w:hAnsi="仿宋" w:eastAsia="仿宋_GB2312"/>
          <w:sz w:val="32"/>
          <w:szCs w:val="32"/>
        </w:rPr>
      </w:pPr>
      <w:r>
        <w:rPr>
          <w:rFonts w:hint="eastAsia" w:ascii="仿宋_GB2312" w:hAnsi="仿宋" w:eastAsia="仿宋_GB2312"/>
          <w:sz w:val="32"/>
          <w:szCs w:val="32"/>
          <w:lang w:eastAsia="zh-CN"/>
        </w:rPr>
        <w:t>2022</w:t>
      </w:r>
      <w:r>
        <w:rPr>
          <w:rFonts w:hint="eastAsia" w:ascii="仿宋_GB2312" w:hAnsi="仿宋" w:eastAsia="仿宋_GB2312"/>
          <w:sz w:val="32"/>
          <w:szCs w:val="32"/>
        </w:rPr>
        <w:t>年，</w:t>
      </w: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val="en-US" w:eastAsia="zh-CN"/>
        </w:rPr>
        <w:t>4</w:t>
      </w:r>
      <w:r>
        <w:rPr>
          <w:rFonts w:hint="eastAsia" w:ascii="仿宋_GB2312" w:hAnsi="仿宋" w:eastAsia="仿宋_GB2312"/>
          <w:sz w:val="32"/>
          <w:szCs w:val="32"/>
        </w:rPr>
        <w:t>个项目实行了绩效目标管理，涉及一般公共预算当年财政拨款</w:t>
      </w:r>
      <w:r>
        <w:rPr>
          <w:rFonts w:hint="eastAsia" w:ascii="仿宋_GB2312" w:hAnsi="仿宋" w:eastAsia="仿宋_GB2312"/>
          <w:sz w:val="32"/>
          <w:szCs w:val="32"/>
          <w:lang w:val="en-US" w:eastAsia="zh-CN"/>
        </w:rPr>
        <w:t>19.90</w:t>
      </w:r>
      <w:r>
        <w:rPr>
          <w:rFonts w:hint="eastAsia" w:ascii="仿宋_GB2312" w:hAnsi="仿宋" w:eastAsia="仿宋_GB2312"/>
          <w:sz w:val="32"/>
          <w:szCs w:val="32"/>
        </w:rPr>
        <w:t>万元、政府性基金预算当年财政拨款</w:t>
      </w:r>
      <w:r>
        <w:rPr>
          <w:rFonts w:ascii="仿宋_GB2312" w:hAnsi="仿宋" w:eastAsia="仿宋_GB2312"/>
          <w:sz w:val="32"/>
          <w:szCs w:val="32"/>
        </w:rPr>
        <w:t>0</w:t>
      </w:r>
      <w:r>
        <w:rPr>
          <w:rFonts w:hint="eastAsia" w:ascii="仿宋_GB2312" w:hAnsi="仿宋" w:eastAsia="仿宋_GB2312"/>
          <w:sz w:val="32"/>
          <w:szCs w:val="32"/>
        </w:rPr>
        <w:t>万元、国有资本经营预算当年财政拨款</w:t>
      </w:r>
      <w:r>
        <w:rPr>
          <w:rFonts w:ascii="仿宋_GB2312" w:hAnsi="仿宋" w:eastAsia="仿宋_GB2312"/>
          <w:sz w:val="32"/>
          <w:szCs w:val="32"/>
        </w:rPr>
        <w:t>0</w:t>
      </w:r>
      <w:r>
        <w:rPr>
          <w:rFonts w:hint="eastAsia" w:ascii="仿宋_GB2312" w:hAnsi="仿宋" w:eastAsia="仿宋_GB2312"/>
          <w:sz w:val="32"/>
          <w:szCs w:val="32"/>
        </w:rPr>
        <w:t>万元、财政专户管理资金当年安排</w:t>
      </w:r>
      <w:r>
        <w:rPr>
          <w:rFonts w:ascii="仿宋_GB2312" w:hAnsi="仿宋" w:eastAsia="仿宋_GB2312"/>
          <w:sz w:val="32"/>
          <w:szCs w:val="32"/>
        </w:rPr>
        <w:t>0</w:t>
      </w:r>
      <w:r>
        <w:rPr>
          <w:rFonts w:hint="eastAsia" w:ascii="仿宋_GB2312" w:hAnsi="仿宋" w:eastAsia="仿宋_GB2312"/>
          <w:sz w:val="32"/>
          <w:szCs w:val="32"/>
        </w:rPr>
        <w:t>万元和单位资金安排安排</w:t>
      </w:r>
      <w:r>
        <w:rPr>
          <w:rFonts w:ascii="仿宋_GB2312" w:hAnsi="仿宋" w:eastAsia="仿宋_GB2312"/>
          <w:sz w:val="32"/>
          <w:szCs w:val="32"/>
        </w:rPr>
        <w:t>0</w:t>
      </w:r>
      <w:r>
        <w:rPr>
          <w:rFonts w:hint="eastAsia" w:ascii="仿宋_GB2312" w:hAnsi="仿宋" w:eastAsia="仿宋_GB2312"/>
          <w:sz w:val="32"/>
          <w:szCs w:val="32"/>
        </w:rPr>
        <w:t>万元。</w:t>
      </w:r>
    </w:p>
    <w:p>
      <w:pPr>
        <w:adjustRightInd w:val="0"/>
        <w:snapToGrid w:val="0"/>
        <w:spacing w:line="600" w:lineRule="exact"/>
        <w:ind w:firstLine="643" w:firstLineChars="200"/>
        <w:rPr>
          <w:rFonts w:hint="eastAsia" w:ascii="仿宋_GB2312" w:hAnsi="楷体" w:eastAsia="仿宋_GB2312"/>
          <w:b/>
          <w:sz w:val="32"/>
          <w:szCs w:val="32"/>
        </w:rPr>
      </w:pPr>
      <w:r>
        <w:rPr>
          <w:rFonts w:hint="eastAsia" w:ascii="仿宋_GB2312" w:hAnsi="楷体" w:eastAsia="仿宋_GB2312"/>
          <w:b/>
          <w:sz w:val="32"/>
          <w:szCs w:val="32"/>
        </w:rPr>
        <w:t>（</w:t>
      </w:r>
      <w:r>
        <w:rPr>
          <w:rFonts w:hint="eastAsia" w:ascii="仿宋_GB2312" w:hAnsi="楷体" w:eastAsia="仿宋_GB2312"/>
          <w:b/>
          <w:sz w:val="32"/>
          <w:szCs w:val="32"/>
          <w:lang w:eastAsia="zh-CN"/>
        </w:rPr>
        <w:t>二</w:t>
      </w:r>
      <w:r>
        <w:rPr>
          <w:rFonts w:hint="eastAsia" w:ascii="仿宋_GB2312" w:hAnsi="楷体" w:eastAsia="仿宋_GB2312"/>
          <w:b/>
          <w:sz w:val="32"/>
          <w:szCs w:val="32"/>
        </w:rPr>
        <w:t>）项目及绩效目标情况。</w:t>
      </w:r>
    </w:p>
    <w:p>
      <w:pPr>
        <w:adjustRightInd w:val="0"/>
        <w:snapToGrid w:val="0"/>
        <w:spacing w:line="600" w:lineRule="exact"/>
        <w:ind w:firstLine="803" w:firstLineChars="250"/>
        <w:rPr>
          <w:rFonts w:ascii="仿宋_GB2312" w:hAnsi="楷体" w:eastAsia="仿宋_GB2312"/>
          <w:b/>
          <w:sz w:val="32"/>
          <w:szCs w:val="32"/>
        </w:rPr>
      </w:pPr>
      <w:r>
        <w:rPr>
          <w:rFonts w:hint="eastAsia" w:ascii="仿宋_GB2312" w:hAnsi="楷体" w:eastAsia="仿宋_GB2312"/>
          <w:b/>
          <w:sz w:val="32"/>
          <w:szCs w:val="32"/>
        </w:rPr>
        <w:t>1.“</w:t>
      </w:r>
      <w:r>
        <w:rPr>
          <w:rFonts w:hint="eastAsia" w:ascii="仿宋_GB2312" w:hAnsi="楷体" w:eastAsia="仿宋_GB2312"/>
          <w:b/>
          <w:sz w:val="32"/>
          <w:szCs w:val="32"/>
          <w:lang w:eastAsia="zh-CN"/>
        </w:rPr>
        <w:t>参政议政经费</w:t>
      </w:r>
      <w:r>
        <w:rPr>
          <w:rFonts w:hint="eastAsia" w:ascii="仿宋_GB2312" w:hAnsi="楷体" w:eastAsia="仿宋_GB2312"/>
          <w:b/>
          <w:sz w:val="32"/>
          <w:szCs w:val="32"/>
        </w:rPr>
        <w:t>”项目。</w:t>
      </w:r>
    </w:p>
    <w:p>
      <w:pPr>
        <w:keepNext w:val="0"/>
        <w:keepLines w:val="0"/>
        <w:widowControl w:val="0"/>
        <w:suppressLineNumbers w:val="0"/>
        <w:spacing w:before="0" w:beforeAutospacing="0" w:after="0" w:afterAutospacing="0" w:line="580" w:lineRule="exact"/>
        <w:ind w:left="0" w:right="0" w:firstLine="585" w:firstLineChars="183"/>
        <w:jc w:val="both"/>
        <w:rPr>
          <w:rFonts w:hint="eastAsia" w:ascii="仿宋_GB2312" w:hAnsi="楷体" w:eastAsia="仿宋_GB2312"/>
          <w:sz w:val="32"/>
          <w:szCs w:val="32"/>
        </w:rPr>
      </w:pPr>
      <w:r>
        <w:rPr>
          <w:rFonts w:hint="eastAsia" w:ascii="仿宋_GB2312" w:hAnsi="楷体" w:eastAsia="仿宋_GB2312"/>
          <w:sz w:val="32"/>
          <w:szCs w:val="32"/>
        </w:rPr>
        <w:t>（1）项目概述。</w:t>
      </w:r>
      <w:r>
        <w:rPr>
          <w:rFonts w:hint="eastAsia" w:ascii="仿宋_GB2312" w:hAnsi="楷体" w:eastAsia="仿宋_GB2312" w:cs="仿宋_GB2312"/>
          <w:kern w:val="2"/>
          <w:sz w:val="32"/>
          <w:szCs w:val="32"/>
          <w:lang w:val="en-US" w:eastAsia="zh-CN" w:bidi="ar"/>
        </w:rPr>
        <w:t>参政议政专项工作经费主要包括为完成课题所发生的调研、专家咨询、会务、培训等费用。</w:t>
      </w:r>
    </w:p>
    <w:p>
      <w:pPr>
        <w:keepNext w:val="0"/>
        <w:keepLines w:val="0"/>
        <w:widowControl w:val="0"/>
        <w:suppressLineNumbers w:val="0"/>
        <w:spacing w:before="0" w:beforeAutospacing="0" w:after="0" w:afterAutospacing="0" w:line="580" w:lineRule="exact"/>
        <w:ind w:left="0" w:right="0" w:firstLine="585" w:firstLineChars="183"/>
        <w:jc w:val="both"/>
        <w:rPr>
          <w:rFonts w:hint="eastAsia" w:ascii="仿宋_GB2312" w:hAnsi="仿宋" w:eastAsia="仿宋_GB2312" w:cs="仿宋"/>
          <w:bCs/>
          <w:kern w:val="0"/>
          <w:sz w:val="32"/>
          <w:szCs w:val="32"/>
          <w:lang w:val="en-US"/>
        </w:rPr>
      </w:pPr>
      <w:r>
        <w:rPr>
          <w:rFonts w:hint="eastAsia" w:ascii="仿宋_GB2312" w:hAnsi="楷体" w:eastAsia="仿宋_GB2312"/>
          <w:sz w:val="32"/>
          <w:szCs w:val="32"/>
        </w:rPr>
        <w:t>（2）立项依据。</w:t>
      </w:r>
      <w:r>
        <w:rPr>
          <w:rFonts w:hint="eastAsia" w:ascii="仿宋_GB2312" w:hAnsi="楷体" w:eastAsia="仿宋_GB2312" w:cs="仿宋_GB2312"/>
          <w:kern w:val="2"/>
          <w:sz w:val="32"/>
          <w:szCs w:val="32"/>
          <w:lang w:val="en-US" w:eastAsia="zh-CN" w:bidi="ar"/>
        </w:rPr>
        <w:t>根据《中国共产党统一战线工作条例》第三章第十一条规定，民主党派的基本职能是参政议政、民主监督，参加中国共产党领导的政治协商。</w:t>
      </w:r>
      <w:r>
        <w:rPr>
          <w:rFonts w:hint="eastAsia" w:ascii="仿宋_GB2312" w:hAnsi="仿宋" w:eastAsia="仿宋_GB2312" w:cs="仿宋"/>
          <w:bCs/>
          <w:kern w:val="0"/>
          <w:sz w:val="32"/>
          <w:szCs w:val="32"/>
          <w:lang w:val="en-US" w:eastAsia="zh-CN" w:bidi="ar"/>
        </w:rPr>
        <w:t>中国致公党安庆市委员会主要职责是在中共安庆市委的领导下，履行参政党职能。</w:t>
      </w:r>
    </w:p>
    <w:p>
      <w:pPr>
        <w:adjustRightInd w:val="0"/>
        <w:snapToGrid w:val="0"/>
        <w:spacing w:line="600" w:lineRule="exact"/>
        <w:ind w:firstLine="640" w:firstLineChars="200"/>
        <w:rPr>
          <w:rFonts w:hint="eastAsia" w:ascii="仿宋_GB2312" w:hAnsi="楷体" w:eastAsia="仿宋_GB2312"/>
          <w:sz w:val="32"/>
          <w:szCs w:val="32"/>
        </w:rPr>
      </w:pPr>
      <w:r>
        <w:rPr>
          <w:rFonts w:hint="eastAsia" w:ascii="仿宋_GB2312" w:hAnsi="楷体" w:eastAsia="仿宋_GB2312"/>
          <w:sz w:val="32"/>
          <w:szCs w:val="32"/>
        </w:rPr>
        <w:t>（3）实施主体。</w:t>
      </w:r>
      <w:r>
        <w:rPr>
          <w:rFonts w:hint="eastAsia" w:ascii="仿宋_GB2312" w:hAnsi="楷体" w:eastAsia="仿宋_GB2312" w:cs="仿宋_GB2312"/>
          <w:kern w:val="2"/>
          <w:sz w:val="32"/>
          <w:szCs w:val="32"/>
          <w:lang w:val="en-US" w:eastAsia="zh-CN" w:bidi="ar"/>
        </w:rPr>
        <w:t>中国致公党安庆市委员会本级。</w:t>
      </w:r>
    </w:p>
    <w:p>
      <w:pPr>
        <w:adjustRightInd w:val="0"/>
        <w:snapToGrid w:val="0"/>
        <w:spacing w:line="600" w:lineRule="exact"/>
        <w:ind w:firstLine="640" w:firstLineChars="200"/>
        <w:rPr>
          <w:rFonts w:hint="eastAsia" w:ascii="仿宋_GB2312" w:hAnsi="仿宋" w:eastAsia="仿宋_GB2312" w:cs="仿宋_GB2312"/>
          <w:kern w:val="2"/>
          <w:sz w:val="32"/>
          <w:szCs w:val="32"/>
          <w:lang w:val="en-US" w:eastAsia="zh-CN" w:bidi="ar"/>
        </w:rPr>
      </w:pPr>
      <w:r>
        <w:rPr>
          <w:rFonts w:hint="eastAsia" w:ascii="仿宋_GB2312" w:hAnsi="楷体" w:eastAsia="仿宋_GB2312"/>
          <w:sz w:val="32"/>
          <w:szCs w:val="32"/>
        </w:rPr>
        <w:t>（4）起止时间。</w:t>
      </w:r>
      <w:r>
        <w:rPr>
          <w:rFonts w:hint="eastAsia" w:ascii="仿宋_GB2312" w:hAnsi="仿宋" w:eastAsia="仿宋_GB2312" w:cs="仿宋_GB2312"/>
          <w:kern w:val="2"/>
          <w:sz w:val="32"/>
          <w:szCs w:val="32"/>
          <w:lang w:val="en-US" w:eastAsia="zh-CN" w:bidi="ar"/>
        </w:rPr>
        <w:t>2022年1月1日至2022年12月31日。</w:t>
      </w:r>
    </w:p>
    <w:p>
      <w:pPr>
        <w:adjustRightInd w:val="0"/>
        <w:snapToGrid w:val="0"/>
        <w:spacing w:line="600" w:lineRule="exact"/>
        <w:ind w:firstLine="640" w:firstLineChars="200"/>
        <w:rPr>
          <w:rFonts w:hint="eastAsia" w:ascii="仿宋_GB2312" w:hAnsi="仿宋" w:eastAsia="仿宋_GB2312" w:cs="仿宋"/>
          <w:bCs/>
          <w:sz w:val="32"/>
          <w:szCs w:val="32"/>
          <w:lang w:val="en-US" w:eastAsia="zh-CN"/>
        </w:rPr>
      </w:pPr>
      <w:r>
        <w:rPr>
          <w:rFonts w:hint="eastAsia" w:ascii="仿宋_GB2312" w:hAnsi="楷体" w:eastAsia="仿宋_GB2312"/>
          <w:sz w:val="32"/>
          <w:szCs w:val="32"/>
        </w:rPr>
        <w:t>（5）项目内容。</w:t>
      </w:r>
      <w:r>
        <w:rPr>
          <w:rFonts w:hint="eastAsia" w:ascii="仿宋_GB2312" w:hAnsi="仿宋" w:eastAsia="仿宋_GB2312" w:cs="仿宋"/>
          <w:bCs/>
          <w:sz w:val="32"/>
          <w:szCs w:val="32"/>
          <w:lang w:val="en-US" w:eastAsia="zh-CN"/>
        </w:rPr>
        <w:t>聚焦十四五规划目标任务，组织党员坚持围绕中心，服务大局，在“两会”工作中积极履职；深入参与中共市委、市政府开展政党协商工作；参与市政协、市委统战部确定的重点课题；积极配合省委会确定的重点课题，深入开展调研，积极建言献策。</w:t>
      </w:r>
    </w:p>
    <w:p>
      <w:pPr>
        <w:adjustRightInd w:val="0"/>
        <w:snapToGrid w:val="0"/>
        <w:spacing w:line="600" w:lineRule="exact"/>
        <w:ind w:firstLine="640" w:firstLineChars="200"/>
        <w:rPr>
          <w:rFonts w:hint="default" w:ascii="仿宋_GB2312" w:hAnsi="仿宋" w:eastAsia="仿宋_GB2312"/>
          <w:sz w:val="32"/>
          <w:szCs w:val="32"/>
          <w:lang w:val="en-US" w:eastAsia="zh-CN"/>
        </w:rPr>
      </w:pPr>
      <w:r>
        <w:rPr>
          <w:rFonts w:hint="eastAsia" w:ascii="仿宋_GB2312" w:hAnsi="楷体" w:eastAsia="仿宋_GB2312"/>
          <w:sz w:val="32"/>
          <w:szCs w:val="32"/>
        </w:rPr>
        <w:t>（6）年度预算安排。</w:t>
      </w:r>
      <w:r>
        <w:rPr>
          <w:rFonts w:hint="eastAsia" w:ascii="仿宋_GB2312" w:hAnsi="楷体" w:eastAsia="仿宋_GB2312"/>
          <w:sz w:val="32"/>
          <w:szCs w:val="32"/>
          <w:lang w:val="en-US" w:eastAsia="zh-CN"/>
        </w:rPr>
        <w:t>2022年预算安排</w:t>
      </w:r>
      <w:r>
        <w:rPr>
          <w:rFonts w:hint="eastAsia" w:ascii="仿宋_GB2312" w:hAnsi="仿宋" w:eastAsia="仿宋_GB2312"/>
          <w:sz w:val="32"/>
          <w:szCs w:val="32"/>
          <w:lang w:val="en-US" w:eastAsia="zh-CN"/>
        </w:rPr>
        <w:t>7.90万元。</w:t>
      </w: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r>
        <w:rPr>
          <w:rFonts w:hint="eastAsia" w:ascii="仿宋_GB2312" w:hAnsi="楷体" w:eastAsia="仿宋_GB2312"/>
          <w:sz w:val="32"/>
          <w:szCs w:val="32"/>
        </w:rPr>
        <w:t>（7）绩效目标。</w:t>
      </w:r>
      <w:r>
        <w:rPr>
          <w:rFonts w:hint="eastAsia" w:ascii="仿宋_GB2312" w:hAnsi="楷体" w:eastAsia="仿宋_GB2312" w:cs="仿宋_GB2312"/>
          <w:kern w:val="2"/>
          <w:sz w:val="32"/>
          <w:szCs w:val="32"/>
          <w:lang w:val="en-US" w:eastAsia="zh-CN" w:bidi="ar"/>
        </w:rPr>
        <w:t>参政议政：通过强化学习，着力提升参政议政的能力素质；明确要求，准确把握参政议政的原则立场；深入调研，切实提高参政议政的质量水平；注重创新，不断推动参政议政的深入发展等四个方面不断提升参政议政能力和水平，积极履行参政党职能。</w:t>
      </w: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p>
      <w:pPr>
        <w:adjustRightInd w:val="0"/>
        <w:snapToGrid w:val="0"/>
        <w:spacing w:line="600" w:lineRule="exact"/>
        <w:ind w:firstLine="640" w:firstLineChars="200"/>
        <w:rPr>
          <w:rFonts w:hint="eastAsia" w:ascii="仿宋_GB2312" w:hAnsi="楷体" w:eastAsia="仿宋_GB2312" w:cs="仿宋_GB2312"/>
          <w:kern w:val="2"/>
          <w:sz w:val="32"/>
          <w:szCs w:val="32"/>
          <w:lang w:val="en-US" w:eastAsia="zh-CN" w:bidi="ar"/>
        </w:rPr>
      </w:pPr>
    </w:p>
    <w:tbl>
      <w:tblPr>
        <w:tblStyle w:val="5"/>
        <w:tblpPr w:leftFromText="180" w:rightFromText="180" w:vertAnchor="text" w:horzAnchor="page" w:tblpX="1811" w:tblpY="361"/>
        <w:tblOverlap w:val="never"/>
        <w:tblW w:w="9150" w:type="dxa"/>
        <w:tblInd w:w="0" w:type="dxa"/>
        <w:tblLayout w:type="fixed"/>
        <w:tblCellMar>
          <w:top w:w="0" w:type="dxa"/>
          <w:left w:w="108" w:type="dxa"/>
          <w:bottom w:w="0" w:type="dxa"/>
          <w:right w:w="108" w:type="dxa"/>
        </w:tblCellMar>
      </w:tblPr>
      <w:tblGrid>
        <w:gridCol w:w="555"/>
        <w:gridCol w:w="660"/>
        <w:gridCol w:w="617"/>
        <w:gridCol w:w="298"/>
        <w:gridCol w:w="1440"/>
        <w:gridCol w:w="195"/>
        <w:gridCol w:w="1395"/>
        <w:gridCol w:w="840"/>
        <w:gridCol w:w="1575"/>
        <w:gridCol w:w="1575"/>
      </w:tblGrid>
      <w:tr>
        <w:tblPrEx>
          <w:tblCellMar>
            <w:top w:w="0" w:type="dxa"/>
            <w:left w:w="108" w:type="dxa"/>
            <w:bottom w:w="0" w:type="dxa"/>
            <w:right w:w="108" w:type="dxa"/>
          </w:tblCellMar>
        </w:tblPrEx>
        <w:trPr>
          <w:trHeight w:val="564" w:hRule="atLeast"/>
        </w:trPr>
        <w:tc>
          <w:tcPr>
            <w:tcW w:w="9150" w:type="dxa"/>
            <w:gridSpan w:val="10"/>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b/>
                <w:bCs/>
                <w:sz w:val="32"/>
                <w:szCs w:val="32"/>
              </w:rPr>
            </w:pPr>
            <w:r>
              <w:rPr>
                <w:rFonts w:hint="eastAsia"/>
                <w:b/>
                <w:bCs/>
                <w:sz w:val="32"/>
                <w:szCs w:val="32"/>
              </w:rPr>
              <w:t>项目支出绩效目标表</w:t>
            </w:r>
          </w:p>
        </w:tc>
      </w:tr>
      <w:tr>
        <w:tblPrEx>
          <w:tblCellMar>
            <w:top w:w="0" w:type="dxa"/>
            <w:left w:w="108" w:type="dxa"/>
            <w:bottom w:w="0" w:type="dxa"/>
            <w:right w:w="108" w:type="dxa"/>
          </w:tblCellMar>
        </w:tblPrEx>
        <w:trPr>
          <w:trHeight w:val="402" w:hRule="atLeast"/>
        </w:trPr>
        <w:tc>
          <w:tcPr>
            <w:tcW w:w="9150" w:type="dxa"/>
            <w:gridSpan w:val="10"/>
            <w:tcBorders>
              <w:top w:val="nil"/>
              <w:left w:val="nil"/>
              <w:bottom w:val="nil"/>
              <w:right w:val="nil"/>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sz w:val="20"/>
                <w:szCs w:val="20"/>
              </w:rPr>
            </w:pPr>
            <w:r>
              <w:rPr>
                <w:rFonts w:hint="eastAsia"/>
                <w:sz w:val="20"/>
                <w:szCs w:val="20"/>
              </w:rPr>
              <w:t>（</w:t>
            </w:r>
            <w:r>
              <w:rPr>
                <w:rFonts w:hint="eastAsia"/>
                <w:sz w:val="20"/>
                <w:szCs w:val="20"/>
                <w:lang w:eastAsia="zh-CN"/>
              </w:rPr>
              <w:t>2022</w:t>
            </w:r>
            <w:r>
              <w:rPr>
                <w:rFonts w:hint="eastAsia"/>
                <w:sz w:val="20"/>
                <w:szCs w:val="20"/>
              </w:rPr>
              <w:t xml:space="preserve"> 年度）</w:t>
            </w:r>
          </w:p>
        </w:tc>
      </w:tr>
      <w:tr>
        <w:tblPrEx>
          <w:tblCellMar>
            <w:top w:w="0" w:type="dxa"/>
            <w:left w:w="108" w:type="dxa"/>
            <w:bottom w:w="0" w:type="dxa"/>
            <w:right w:w="108" w:type="dxa"/>
          </w:tblCellMar>
        </w:tblPrEx>
        <w:trPr>
          <w:trHeight w:val="330" w:hRule="atLeast"/>
        </w:trPr>
        <w:tc>
          <w:tcPr>
            <w:tcW w:w="1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项目名称</w:t>
            </w:r>
          </w:p>
        </w:tc>
        <w:tc>
          <w:tcPr>
            <w:tcW w:w="7935" w:type="dxa"/>
            <w:gridSpan w:val="8"/>
            <w:tcBorders>
              <w:top w:val="single" w:color="auto" w:sz="4" w:space="0"/>
              <w:left w:val="nil"/>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2"/>
                <w:sz w:val="20"/>
                <w:szCs w:val="20"/>
                <w:lang w:val="en-US" w:eastAsia="zh-CN" w:bidi="ar"/>
              </w:rPr>
              <w:t>参政议政</w:t>
            </w: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330" w:hRule="atLeast"/>
        </w:trPr>
        <w:tc>
          <w:tcPr>
            <w:tcW w:w="1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实施单位</w:t>
            </w:r>
          </w:p>
        </w:tc>
        <w:tc>
          <w:tcPr>
            <w:tcW w:w="7935" w:type="dxa"/>
            <w:gridSpan w:val="8"/>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kern w:val="2"/>
                <w:sz w:val="20"/>
                <w:szCs w:val="20"/>
                <w:lang w:val="en-US" w:eastAsia="zh-CN" w:bidi="ar"/>
              </w:rPr>
              <w:t>中国致公党安庆市委员会本级</w:t>
            </w: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330" w:hRule="atLeast"/>
        </w:trPr>
        <w:tc>
          <w:tcPr>
            <w:tcW w:w="121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rPr>
              <w:t>项目属性</w:t>
            </w:r>
          </w:p>
        </w:tc>
        <w:tc>
          <w:tcPr>
            <w:tcW w:w="7935" w:type="dxa"/>
            <w:gridSpan w:val="8"/>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000000"/>
                <w:sz w:val="20"/>
                <w:szCs w:val="20"/>
              </w:rPr>
            </w:pPr>
            <w:r>
              <w:rPr>
                <w:rFonts w:hint="eastAsia" w:ascii="仿宋_GB2312" w:hAnsi="仿宋_GB2312" w:eastAsia="仿宋_GB2312" w:cs="仿宋_GB2312"/>
                <w:color w:val="000000"/>
                <w:sz w:val="20"/>
                <w:szCs w:val="20"/>
                <w:lang w:eastAsia="zh-CN"/>
              </w:rPr>
              <w:t>延续项目</w:t>
            </w:r>
            <w:r>
              <w:rPr>
                <w:rFonts w:hint="eastAsia" w:ascii="仿宋_GB2312" w:hAnsi="仿宋_GB2312" w:eastAsia="仿宋_GB2312" w:cs="仿宋_GB2312"/>
                <w:color w:val="000000"/>
                <w:sz w:val="20"/>
                <w:szCs w:val="20"/>
              </w:rPr>
              <w:t>　</w:t>
            </w:r>
          </w:p>
        </w:tc>
      </w:tr>
      <w:tr>
        <w:tblPrEx>
          <w:tblCellMar>
            <w:top w:w="0" w:type="dxa"/>
            <w:left w:w="108" w:type="dxa"/>
            <w:bottom w:w="0" w:type="dxa"/>
            <w:right w:w="108" w:type="dxa"/>
          </w:tblCellMar>
        </w:tblPrEx>
        <w:trPr>
          <w:trHeight w:val="330" w:hRule="atLeast"/>
        </w:trPr>
        <w:tc>
          <w:tcPr>
            <w:tcW w:w="1832"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项目资金</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（万元）</w:t>
            </w:r>
          </w:p>
        </w:tc>
        <w:tc>
          <w:tcPr>
            <w:tcW w:w="1933" w:type="dxa"/>
            <w:gridSpan w:val="3"/>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 xml:space="preserve"> 中期资金总额：</w:t>
            </w:r>
          </w:p>
        </w:tc>
        <w:tc>
          <w:tcPr>
            <w:tcW w:w="139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23.7</w:t>
            </w:r>
          </w:p>
        </w:tc>
        <w:tc>
          <w:tcPr>
            <w:tcW w:w="2415"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 xml:space="preserve"> 年度资金总额：　</w:t>
            </w:r>
          </w:p>
        </w:tc>
        <w:tc>
          <w:tcPr>
            <w:tcW w:w="1575" w:type="dxa"/>
            <w:tcBorders>
              <w:top w:val="nil"/>
              <w:left w:val="single" w:color="auto" w:sz="4" w:space="0"/>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7.90</w:t>
            </w:r>
            <w:r>
              <w:rPr>
                <w:rFonts w:hint="eastAsia" w:ascii="仿宋_GB2312" w:hAnsi="仿宋_GB2312" w:eastAsia="仿宋_GB2312" w:cs="仿宋_GB2312"/>
                <w:sz w:val="20"/>
                <w:szCs w:val="20"/>
              </w:rPr>
              <w:t>　</w:t>
            </w:r>
          </w:p>
        </w:tc>
      </w:tr>
      <w:tr>
        <w:tblPrEx>
          <w:tblCellMar>
            <w:top w:w="0" w:type="dxa"/>
            <w:left w:w="108" w:type="dxa"/>
            <w:bottom w:w="0" w:type="dxa"/>
            <w:right w:w="108" w:type="dxa"/>
          </w:tblCellMar>
        </w:tblPrEx>
        <w:trPr>
          <w:trHeight w:val="330" w:hRule="atLeast"/>
        </w:trPr>
        <w:tc>
          <w:tcPr>
            <w:tcW w:w="1832" w:type="dxa"/>
            <w:gridSpan w:val="3"/>
            <w:vMerge w:val="continue"/>
            <w:tcBorders>
              <w:top w:val="single" w:color="auto"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1933" w:type="dxa"/>
            <w:gridSpan w:val="3"/>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 xml:space="preserve">   其中：财政拨款</w:t>
            </w:r>
          </w:p>
        </w:tc>
        <w:tc>
          <w:tcPr>
            <w:tcW w:w="139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23.7</w:t>
            </w:r>
          </w:p>
        </w:tc>
        <w:tc>
          <w:tcPr>
            <w:tcW w:w="2415"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 xml:space="preserve"> 其中：财政拨款</w:t>
            </w:r>
          </w:p>
        </w:tc>
        <w:tc>
          <w:tcPr>
            <w:tcW w:w="1575" w:type="dxa"/>
            <w:tcBorders>
              <w:top w:val="nil"/>
              <w:left w:val="single" w:color="auto" w:sz="4" w:space="0"/>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7.90</w:t>
            </w:r>
          </w:p>
        </w:tc>
      </w:tr>
      <w:tr>
        <w:tblPrEx>
          <w:tblCellMar>
            <w:top w:w="0" w:type="dxa"/>
            <w:left w:w="108" w:type="dxa"/>
            <w:bottom w:w="0" w:type="dxa"/>
            <w:right w:w="108" w:type="dxa"/>
          </w:tblCellMar>
        </w:tblPrEx>
        <w:trPr>
          <w:trHeight w:val="324" w:hRule="atLeast"/>
        </w:trPr>
        <w:tc>
          <w:tcPr>
            <w:tcW w:w="1832" w:type="dxa"/>
            <w:gridSpan w:val="3"/>
            <w:vMerge w:val="continue"/>
            <w:tcBorders>
              <w:top w:val="single" w:color="auto" w:sz="4" w:space="0"/>
              <w:left w:val="single" w:color="auto"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3328" w:type="dxa"/>
            <w:gridSpan w:val="4"/>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 xml:space="preserve">        </w:t>
            </w:r>
            <w:r>
              <w:rPr>
                <w:rFonts w:hint="eastAsia" w:ascii="仿宋_GB2312" w:hAnsi="仿宋_GB2312" w:eastAsia="仿宋_GB2312" w:cs="仿宋_GB2312"/>
                <w:sz w:val="20"/>
                <w:szCs w:val="20"/>
                <w:lang w:val="en-US" w:eastAsia="zh-CN"/>
              </w:rPr>
              <w:t xml:space="preserve"> </w:t>
            </w:r>
            <w:r>
              <w:rPr>
                <w:rFonts w:hint="eastAsia" w:ascii="仿宋_GB2312" w:hAnsi="仿宋_GB2312" w:eastAsia="仿宋_GB2312" w:cs="仿宋_GB2312"/>
                <w:sz w:val="20"/>
                <w:szCs w:val="20"/>
              </w:rPr>
              <w:t>其他资金</w:t>
            </w:r>
          </w:p>
        </w:tc>
        <w:tc>
          <w:tcPr>
            <w:tcW w:w="2415" w:type="dxa"/>
            <w:gridSpan w:val="2"/>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　 其他资金</w:t>
            </w:r>
          </w:p>
        </w:tc>
        <w:tc>
          <w:tcPr>
            <w:tcW w:w="1575" w:type="dxa"/>
            <w:tcBorders>
              <w:top w:val="nil"/>
              <w:left w:val="single" w:color="auto" w:sz="4" w:space="0"/>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　</w:t>
            </w:r>
          </w:p>
        </w:tc>
      </w:tr>
      <w:tr>
        <w:tblPrEx>
          <w:tblCellMar>
            <w:top w:w="0" w:type="dxa"/>
            <w:left w:w="108" w:type="dxa"/>
            <w:bottom w:w="0" w:type="dxa"/>
            <w:right w:w="108" w:type="dxa"/>
          </w:tblCellMar>
        </w:tblPrEx>
        <w:trPr>
          <w:trHeight w:val="330" w:hRule="atLeast"/>
        </w:trPr>
        <w:tc>
          <w:tcPr>
            <w:tcW w:w="555" w:type="dxa"/>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总体</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目标</w:t>
            </w:r>
          </w:p>
        </w:tc>
        <w:tc>
          <w:tcPr>
            <w:tcW w:w="4605" w:type="dxa"/>
            <w:gridSpan w:val="6"/>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中期目标（20</w:t>
            </w:r>
            <w:r>
              <w:rPr>
                <w:rFonts w:hint="eastAsia" w:ascii="仿宋_GB2312" w:hAnsi="仿宋_GB2312" w:eastAsia="仿宋_GB2312" w:cs="仿宋_GB2312"/>
                <w:sz w:val="20"/>
                <w:szCs w:val="20"/>
                <w:lang w:val="en-US" w:eastAsia="zh-CN"/>
              </w:rPr>
              <w:t>22</w:t>
            </w:r>
            <w:r>
              <w:rPr>
                <w:rFonts w:hint="eastAsia" w:ascii="仿宋_GB2312" w:hAnsi="仿宋_GB2312" w:eastAsia="仿宋_GB2312" w:cs="仿宋_GB2312"/>
                <w:sz w:val="20"/>
                <w:szCs w:val="20"/>
              </w:rPr>
              <w:t>年—20</w:t>
            </w:r>
            <w:r>
              <w:rPr>
                <w:rFonts w:hint="eastAsia" w:ascii="仿宋_GB2312" w:hAnsi="仿宋_GB2312" w:eastAsia="仿宋_GB2312" w:cs="仿宋_GB2312"/>
                <w:sz w:val="20"/>
                <w:szCs w:val="20"/>
                <w:lang w:val="en-US" w:eastAsia="zh-CN"/>
              </w:rPr>
              <w:t>24</w:t>
            </w:r>
            <w:r>
              <w:rPr>
                <w:rFonts w:hint="eastAsia" w:ascii="仿宋_GB2312" w:hAnsi="仿宋_GB2312" w:eastAsia="仿宋_GB2312" w:cs="仿宋_GB2312"/>
                <w:sz w:val="20"/>
                <w:szCs w:val="20"/>
              </w:rPr>
              <w:t>年）</w:t>
            </w:r>
          </w:p>
        </w:tc>
        <w:tc>
          <w:tcPr>
            <w:tcW w:w="399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年度目标</w:t>
            </w:r>
          </w:p>
        </w:tc>
      </w:tr>
      <w:tr>
        <w:tblPrEx>
          <w:tblCellMar>
            <w:top w:w="0" w:type="dxa"/>
            <w:left w:w="108" w:type="dxa"/>
            <w:bottom w:w="0" w:type="dxa"/>
            <w:right w:w="108" w:type="dxa"/>
          </w:tblCellMar>
        </w:tblPrEx>
        <w:trPr>
          <w:trHeight w:val="90" w:hRule="atLeast"/>
        </w:trPr>
        <w:tc>
          <w:tcPr>
            <w:tcW w:w="555"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4605" w:type="dxa"/>
            <w:gridSpan w:val="6"/>
            <w:tcBorders>
              <w:top w:val="single" w:color="auto" w:sz="4" w:space="0"/>
              <w:left w:val="nil"/>
              <w:bottom w:val="single" w:color="auto" w:sz="4" w:space="0"/>
              <w:right w:val="nil"/>
            </w:tcBorders>
            <w:shd w:val="clear" w:color="auto" w:fill="auto"/>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申请该项经费</w:t>
            </w:r>
            <w:r>
              <w:rPr>
                <w:rFonts w:hint="eastAsia" w:ascii="仿宋_GB2312" w:hAnsi="仿宋_GB2312" w:eastAsia="仿宋_GB2312" w:cs="仿宋_GB2312"/>
                <w:sz w:val="20"/>
                <w:szCs w:val="20"/>
                <w:lang w:val="en-US" w:eastAsia="zh-CN"/>
              </w:rPr>
              <w:t>用于开展</w:t>
            </w:r>
            <w:r>
              <w:rPr>
                <w:rFonts w:hint="eastAsia" w:ascii="仿宋_GB2312" w:hAnsi="仿宋_GB2312" w:eastAsia="仿宋_GB2312" w:cs="仿宋_GB2312"/>
                <w:sz w:val="20"/>
                <w:szCs w:val="20"/>
              </w:rPr>
              <w:t>调研、培训等工作，不断推动参政议政的能力和水平，积极履行参政党职能。</w:t>
            </w:r>
          </w:p>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3990" w:type="dxa"/>
            <w:gridSpan w:val="3"/>
            <w:tcBorders>
              <w:top w:val="single" w:color="auto" w:sz="4" w:space="0"/>
              <w:left w:val="single" w:color="auto" w:sz="4" w:space="0"/>
              <w:bottom w:val="single" w:color="auto" w:sz="4" w:space="0"/>
              <w:right w:val="single" w:color="000000" w:sz="4" w:space="0"/>
            </w:tcBorders>
            <w:shd w:val="clear" w:color="auto" w:fill="auto"/>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申请</w:t>
            </w:r>
            <w:r>
              <w:rPr>
                <w:rFonts w:hint="eastAsia" w:ascii="仿宋_GB2312" w:hAnsi="仿宋_GB2312" w:eastAsia="仿宋_GB2312" w:cs="仿宋_GB2312"/>
                <w:sz w:val="20"/>
                <w:szCs w:val="20"/>
                <w:lang w:val="en-US" w:eastAsia="zh-CN"/>
              </w:rPr>
              <w:t>7.9万元财政资金，用于</w:t>
            </w:r>
            <w:r>
              <w:rPr>
                <w:rFonts w:hint="eastAsia" w:ascii="仿宋_GB2312" w:hAnsi="仿宋_GB2312" w:eastAsia="仿宋_GB2312" w:cs="仿宋_GB2312"/>
                <w:sz w:val="20"/>
                <w:szCs w:val="20"/>
                <w:lang w:eastAsia="zh-CN"/>
              </w:rPr>
              <w:t>对全市致公党员</w:t>
            </w:r>
            <w:r>
              <w:rPr>
                <w:rFonts w:hint="eastAsia" w:ascii="仿宋_GB2312" w:hAnsi="仿宋_GB2312" w:eastAsia="仿宋_GB2312" w:cs="仿宋_GB2312"/>
                <w:sz w:val="20"/>
                <w:szCs w:val="20"/>
              </w:rPr>
              <w:t>强化学习，准确把握参政议政的原则，切实提高参政议政的质量水平。</w:t>
            </w:r>
          </w:p>
        </w:tc>
      </w:tr>
      <w:tr>
        <w:tblPrEx>
          <w:tblCellMar>
            <w:top w:w="0" w:type="dxa"/>
            <w:left w:w="108" w:type="dxa"/>
            <w:bottom w:w="0" w:type="dxa"/>
            <w:right w:w="108" w:type="dxa"/>
          </w:tblCellMar>
        </w:tblPrEx>
        <w:trPr>
          <w:trHeight w:val="529" w:hRule="atLeast"/>
        </w:trPr>
        <w:tc>
          <w:tcPr>
            <w:tcW w:w="555" w:type="dxa"/>
            <w:vMerge w:val="restart"/>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绩</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效</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指</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标</w:t>
            </w:r>
          </w:p>
        </w:tc>
        <w:tc>
          <w:tcPr>
            <w:tcW w:w="660" w:type="dxa"/>
            <w:tcBorders>
              <w:top w:val="nil"/>
              <w:left w:val="nil"/>
              <w:bottom w:val="nil"/>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一级</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指标</w:t>
            </w:r>
          </w:p>
        </w:tc>
        <w:tc>
          <w:tcPr>
            <w:tcW w:w="915"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二级</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三级</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指标值</w:t>
            </w: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二级</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nil"/>
              <w:bottom w:val="single" w:color="auto" w:sz="4" w:space="0"/>
              <w:right w:val="nil"/>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三级</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指标值</w:t>
            </w:r>
          </w:p>
        </w:tc>
      </w:tr>
      <w:tr>
        <w:tblPrEx>
          <w:tblCellMar>
            <w:top w:w="0" w:type="dxa"/>
            <w:left w:w="108" w:type="dxa"/>
            <w:bottom w:w="0" w:type="dxa"/>
            <w:right w:w="108" w:type="dxa"/>
          </w:tblCellMar>
        </w:tblPrEx>
        <w:trPr>
          <w:trHeight w:val="235"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restart"/>
            <w:tcBorders>
              <w:top w:val="single" w:color="auto" w:sz="4" w:space="0"/>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产</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出</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指</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标</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数量</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0"/>
                <w:szCs w:val="20"/>
              </w:rPr>
            </w:pPr>
            <w:r>
              <w:rPr>
                <w:rFonts w:hint="eastAsia" w:ascii="仿宋_GB2312" w:hAnsi="仿宋_GB2312" w:eastAsia="仿宋_GB2312" w:cs="仿宋_GB2312"/>
                <w:sz w:val="20"/>
                <w:szCs w:val="20"/>
              </w:rPr>
              <w:t>调研次数</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2次</w:t>
            </w:r>
          </w:p>
        </w:tc>
        <w:tc>
          <w:tcPr>
            <w:tcW w:w="840" w:type="dxa"/>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数量</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调研次数</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2次</w:t>
            </w:r>
          </w:p>
        </w:tc>
      </w:tr>
      <w:tr>
        <w:tblPrEx>
          <w:tblCellMar>
            <w:top w:w="0" w:type="dxa"/>
            <w:left w:w="108" w:type="dxa"/>
            <w:bottom w:w="0" w:type="dxa"/>
            <w:right w:w="108" w:type="dxa"/>
          </w:tblCellMar>
        </w:tblPrEx>
        <w:trPr>
          <w:trHeight w:val="284"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0"/>
                <w:szCs w:val="20"/>
              </w:rPr>
            </w:pPr>
            <w:r>
              <w:rPr>
                <w:rFonts w:hint="eastAsia" w:ascii="仿宋_GB2312" w:hAnsi="仿宋_GB2312" w:eastAsia="仿宋_GB2312" w:cs="仿宋_GB2312"/>
                <w:sz w:val="20"/>
                <w:szCs w:val="20"/>
              </w:rPr>
              <w:t>调研课题</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4</w:t>
            </w:r>
            <w:r>
              <w:rPr>
                <w:rFonts w:hint="eastAsia" w:ascii="仿宋_GB2312" w:hAnsi="仿宋_GB2312" w:eastAsia="仿宋_GB2312" w:cs="仿宋_GB2312"/>
                <w:kern w:val="2"/>
                <w:sz w:val="20"/>
                <w:szCs w:val="20"/>
                <w:lang w:val="en-US" w:eastAsia="zh-CN" w:bidi="ar"/>
              </w:rPr>
              <w:t>篇</w:t>
            </w:r>
          </w:p>
        </w:tc>
        <w:tc>
          <w:tcPr>
            <w:tcW w:w="84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rPr>
              <w:t>调研课题</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r>
              <w:rPr>
                <w:rFonts w:hint="eastAsia" w:ascii="仿宋_GB2312" w:hAnsi="仿宋_GB2312" w:eastAsia="仿宋_GB2312" w:cs="仿宋_GB2312"/>
                <w:kern w:val="2"/>
                <w:sz w:val="20"/>
                <w:szCs w:val="20"/>
                <w:lang w:val="en-US" w:eastAsia="zh-CN" w:bidi="ar"/>
              </w:rPr>
              <w:t>4篇</w:t>
            </w:r>
          </w:p>
        </w:tc>
      </w:tr>
      <w:tr>
        <w:tblPrEx>
          <w:tblCellMar>
            <w:top w:w="0" w:type="dxa"/>
            <w:left w:w="108" w:type="dxa"/>
            <w:bottom w:w="0" w:type="dxa"/>
            <w:right w:w="108" w:type="dxa"/>
          </w:tblCellMar>
        </w:tblPrEx>
        <w:trPr>
          <w:trHeight w:val="284"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continue"/>
            <w:tcBorders>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0"/>
                <w:szCs w:val="20"/>
              </w:rPr>
            </w:pPr>
            <w:r>
              <w:rPr>
                <w:rFonts w:hint="eastAsia" w:ascii="仿宋_GB2312" w:hAnsi="仿宋_GB2312" w:eastAsia="仿宋_GB2312" w:cs="仿宋_GB2312"/>
                <w:sz w:val="20"/>
                <w:szCs w:val="20"/>
              </w:rPr>
              <w:t>提案</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21</w:t>
            </w:r>
            <w:r>
              <w:rPr>
                <w:rFonts w:hint="eastAsia" w:ascii="仿宋_GB2312" w:hAnsi="仿宋_GB2312" w:eastAsia="仿宋_GB2312" w:cs="仿宋_GB2312"/>
                <w:kern w:val="2"/>
                <w:sz w:val="20"/>
                <w:szCs w:val="20"/>
                <w:lang w:val="en-US" w:eastAsia="zh-CN" w:bidi="ar"/>
              </w:rPr>
              <w:t>篇</w:t>
            </w:r>
          </w:p>
        </w:tc>
        <w:tc>
          <w:tcPr>
            <w:tcW w:w="840"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rPr>
              <w:t>提案</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w:t>
            </w:r>
            <w:r>
              <w:rPr>
                <w:rFonts w:hint="eastAsia" w:ascii="仿宋_GB2312" w:hAnsi="仿宋_GB2312" w:eastAsia="仿宋_GB2312" w:cs="仿宋_GB2312"/>
                <w:sz w:val="20"/>
                <w:szCs w:val="20"/>
                <w:lang w:val="en-US" w:eastAsia="zh-CN"/>
              </w:rPr>
              <w:t>21</w:t>
            </w:r>
            <w:r>
              <w:rPr>
                <w:rFonts w:hint="eastAsia" w:ascii="仿宋_GB2312" w:hAnsi="仿宋_GB2312" w:eastAsia="仿宋_GB2312" w:cs="仿宋_GB2312"/>
                <w:kern w:val="2"/>
                <w:sz w:val="20"/>
                <w:szCs w:val="20"/>
                <w:lang w:val="en-US" w:eastAsia="zh-CN" w:bidi="ar"/>
              </w:rPr>
              <w:t>篇</w:t>
            </w:r>
          </w:p>
        </w:tc>
      </w:tr>
      <w:tr>
        <w:tblPrEx>
          <w:tblCellMar>
            <w:top w:w="0" w:type="dxa"/>
            <w:left w:w="108" w:type="dxa"/>
            <w:bottom w:w="0" w:type="dxa"/>
            <w:right w:w="108" w:type="dxa"/>
          </w:tblCellMar>
        </w:tblPrEx>
        <w:trPr>
          <w:trHeight w:val="284" w:hRule="atLeast"/>
        </w:trPr>
        <w:tc>
          <w:tcPr>
            <w:tcW w:w="555"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质量</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合格率</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c>
          <w:tcPr>
            <w:tcW w:w="840" w:type="dxa"/>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质量</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合格率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r>
      <w:tr>
        <w:tblPrEx>
          <w:tblCellMar>
            <w:top w:w="0" w:type="dxa"/>
            <w:left w:w="108" w:type="dxa"/>
            <w:bottom w:w="0" w:type="dxa"/>
            <w:right w:w="108" w:type="dxa"/>
          </w:tblCellMar>
        </w:tblPrEx>
        <w:trPr>
          <w:trHeight w:val="601" w:hRule="atLeast"/>
        </w:trPr>
        <w:tc>
          <w:tcPr>
            <w:tcW w:w="555" w:type="dxa"/>
            <w:vMerge w:val="continue"/>
            <w:tcBorders>
              <w:top w:val="nil"/>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资金使用</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eastAsia="zh-CN"/>
              </w:rPr>
              <w:t>合规性</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严格执行相关财经法规、制度</w:t>
            </w:r>
          </w:p>
        </w:tc>
        <w:tc>
          <w:tcPr>
            <w:tcW w:w="840" w:type="dxa"/>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资金使用</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合规性</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严格执行相关财经法规、制度</w:t>
            </w:r>
          </w:p>
        </w:tc>
      </w:tr>
      <w:tr>
        <w:tblPrEx>
          <w:tblCellMar>
            <w:top w:w="0" w:type="dxa"/>
            <w:left w:w="108" w:type="dxa"/>
            <w:bottom w:w="0" w:type="dxa"/>
            <w:right w:w="108" w:type="dxa"/>
          </w:tblCellMar>
        </w:tblPrEx>
        <w:trPr>
          <w:trHeight w:val="583" w:hRule="atLeast"/>
        </w:trPr>
        <w:tc>
          <w:tcPr>
            <w:tcW w:w="555" w:type="dxa"/>
            <w:vMerge w:val="continue"/>
            <w:tcBorders>
              <w:top w:val="single" w:color="auto" w:sz="4" w:space="0"/>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时效</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440"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项目完成时间</w:t>
            </w:r>
          </w:p>
        </w:tc>
        <w:tc>
          <w:tcPr>
            <w:tcW w:w="1590"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每年12月底前</w:t>
            </w:r>
          </w:p>
        </w:tc>
        <w:tc>
          <w:tcPr>
            <w:tcW w:w="840"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时效</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项目完成时间</w:t>
            </w:r>
          </w:p>
        </w:tc>
        <w:tc>
          <w:tcPr>
            <w:tcW w:w="1575" w:type="dxa"/>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每年12月底前</w:t>
            </w:r>
          </w:p>
        </w:tc>
      </w:tr>
      <w:tr>
        <w:tblPrEx>
          <w:tblCellMar>
            <w:top w:w="0" w:type="dxa"/>
            <w:left w:w="108" w:type="dxa"/>
            <w:bottom w:w="0" w:type="dxa"/>
            <w:right w:w="108" w:type="dxa"/>
          </w:tblCellMar>
        </w:tblPrEx>
        <w:trPr>
          <w:trHeight w:val="566"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成本</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经费支出</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合规性</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严格执行相关定额标准</w:t>
            </w:r>
          </w:p>
        </w:tc>
        <w:tc>
          <w:tcPr>
            <w:tcW w:w="840" w:type="dxa"/>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成本</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经费支出</w:t>
            </w:r>
          </w:p>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合规性</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严格执行相关</w:t>
            </w:r>
          </w:p>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定额标准</w:t>
            </w:r>
          </w:p>
        </w:tc>
      </w:tr>
      <w:tr>
        <w:tblPrEx>
          <w:tblCellMar>
            <w:top w:w="0" w:type="dxa"/>
            <w:left w:w="108" w:type="dxa"/>
            <w:bottom w:w="0" w:type="dxa"/>
            <w:right w:w="108" w:type="dxa"/>
          </w:tblCellMar>
        </w:tblPrEx>
        <w:trPr>
          <w:trHeight w:val="315"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continue"/>
            <w:tcBorders>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总成本</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≤23.7 万元</w:t>
            </w:r>
          </w:p>
        </w:tc>
        <w:tc>
          <w:tcPr>
            <w:tcW w:w="840"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总成本</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≤7.9 万元</w:t>
            </w:r>
          </w:p>
        </w:tc>
      </w:tr>
      <w:tr>
        <w:tblPrEx>
          <w:tblCellMar>
            <w:top w:w="0" w:type="dxa"/>
            <w:left w:w="108" w:type="dxa"/>
            <w:bottom w:w="0" w:type="dxa"/>
            <w:right w:w="108" w:type="dxa"/>
          </w:tblCellMar>
        </w:tblPrEx>
        <w:trPr>
          <w:trHeight w:val="606"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restart"/>
            <w:tcBorders>
              <w:top w:val="single" w:color="auto" w:sz="4" w:space="0"/>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效</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益</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指</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标</w:t>
            </w:r>
          </w:p>
        </w:tc>
        <w:tc>
          <w:tcPr>
            <w:tcW w:w="915" w:type="dxa"/>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经济效益指标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本指标不适用</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8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经济效益指标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本指标不适用</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r>
      <w:tr>
        <w:tblPrEx>
          <w:tblCellMar>
            <w:top w:w="0" w:type="dxa"/>
            <w:left w:w="108" w:type="dxa"/>
            <w:bottom w:w="0" w:type="dxa"/>
            <w:right w:w="108" w:type="dxa"/>
          </w:tblCellMar>
        </w:tblPrEx>
        <w:trPr>
          <w:trHeight w:val="315"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社会效</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益指标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服务党员</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“两会”积极参政议政</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显著</w:t>
            </w:r>
          </w:p>
        </w:tc>
        <w:tc>
          <w:tcPr>
            <w:tcW w:w="840" w:type="dxa"/>
            <w:vMerge w:val="restart"/>
            <w:tcBorders>
              <w:top w:val="nil"/>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社会效</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益指标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val="en-US" w:eastAsia="zh-CN"/>
              </w:rPr>
            </w:pPr>
            <w:r>
              <w:rPr>
                <w:rFonts w:hint="eastAsia" w:ascii="仿宋_GB2312" w:hAnsi="仿宋_GB2312" w:eastAsia="仿宋_GB2312" w:cs="仿宋_GB2312"/>
                <w:sz w:val="20"/>
                <w:szCs w:val="20"/>
                <w:lang w:val="en-US" w:eastAsia="zh-CN"/>
              </w:rPr>
              <w:t>服务党员</w:t>
            </w:r>
          </w:p>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val="en-US" w:eastAsia="zh-CN"/>
              </w:rPr>
              <w:t>“两会”积极参政议政</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显著</w:t>
            </w:r>
          </w:p>
        </w:tc>
      </w:tr>
      <w:tr>
        <w:tblPrEx>
          <w:tblCellMar>
            <w:top w:w="0" w:type="dxa"/>
            <w:left w:w="108" w:type="dxa"/>
            <w:bottom w:w="0" w:type="dxa"/>
            <w:right w:w="108" w:type="dxa"/>
          </w:tblCellMar>
        </w:tblPrEx>
        <w:trPr>
          <w:trHeight w:val="769"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vMerge w:val="continue"/>
            <w:tcBorders>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推进参政议政的能力和水平</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显著</w:t>
            </w:r>
          </w:p>
        </w:tc>
        <w:tc>
          <w:tcPr>
            <w:tcW w:w="840" w:type="dxa"/>
            <w:vMerge w:val="continue"/>
            <w:tcBorders>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leftChars="0" w:right="0" w:rightChars="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推进参政议政的能力和水平</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显著</w:t>
            </w:r>
          </w:p>
        </w:tc>
      </w:tr>
      <w:tr>
        <w:tblPrEx>
          <w:tblCellMar>
            <w:top w:w="0" w:type="dxa"/>
            <w:left w:w="108" w:type="dxa"/>
            <w:bottom w:w="0" w:type="dxa"/>
            <w:right w:w="108" w:type="dxa"/>
          </w:tblCellMar>
        </w:tblPrEx>
        <w:trPr>
          <w:trHeight w:val="514"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生态效益指标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本指标不适用</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生态效益指标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color w:val="000000"/>
                <w:kern w:val="0"/>
                <w:sz w:val="19"/>
                <w:szCs w:val="19"/>
                <w:lang w:val="en-US" w:eastAsia="zh-CN" w:bidi="ar"/>
              </w:rPr>
              <w:t>本指标不适用</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r>
      <w:tr>
        <w:tblPrEx>
          <w:tblCellMar>
            <w:top w:w="0" w:type="dxa"/>
            <w:left w:w="108" w:type="dxa"/>
            <w:bottom w:w="0" w:type="dxa"/>
            <w:right w:w="108" w:type="dxa"/>
          </w:tblCellMar>
        </w:tblPrEx>
        <w:trPr>
          <w:trHeight w:val="831"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vMerge w:val="continue"/>
            <w:tcBorders>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915" w:type="dxa"/>
            <w:gridSpan w:val="2"/>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可持续影响</w:t>
            </w:r>
            <w:r>
              <w:rPr>
                <w:rFonts w:hint="eastAsia" w:ascii="仿宋_GB2312" w:hAnsi="仿宋_GB2312" w:eastAsia="仿宋_GB2312" w:cs="仿宋_GB2312"/>
                <w:sz w:val="20"/>
                <w:szCs w:val="20"/>
              </w:rPr>
              <w:br w:type="textWrapping"/>
            </w:r>
            <w:r>
              <w:rPr>
                <w:rFonts w:hint="eastAsia" w:ascii="仿宋_GB2312" w:hAnsi="仿宋_GB2312" w:eastAsia="仿宋_GB2312" w:cs="仿宋_GB2312"/>
                <w:sz w:val="20"/>
                <w:szCs w:val="20"/>
              </w:rPr>
              <w:t>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履行参政党</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职能</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可持续</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影响</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履行参政党</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职能</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lang w:eastAsia="zh-CN"/>
              </w:rPr>
            </w:pPr>
            <w:r>
              <w:rPr>
                <w:rFonts w:hint="eastAsia" w:ascii="仿宋_GB2312" w:hAnsi="仿宋_GB2312" w:eastAsia="仿宋_GB2312" w:cs="仿宋_GB2312"/>
                <w:sz w:val="20"/>
                <w:szCs w:val="20"/>
                <w:lang w:eastAsia="zh-CN"/>
              </w:rPr>
              <w:t>显著</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r>
      <w:tr>
        <w:tblPrEx>
          <w:tblCellMar>
            <w:top w:w="0" w:type="dxa"/>
            <w:left w:w="108" w:type="dxa"/>
            <w:bottom w:w="0" w:type="dxa"/>
            <w:right w:w="108" w:type="dxa"/>
          </w:tblCellMar>
        </w:tblPrEx>
        <w:trPr>
          <w:trHeight w:val="965" w:hRule="atLeast"/>
        </w:trPr>
        <w:tc>
          <w:tcPr>
            <w:tcW w:w="555" w:type="dxa"/>
            <w:vMerge w:val="continue"/>
            <w:tcBorders>
              <w:top w:val="nil"/>
              <w:left w:val="single" w:color="auto" w:sz="4" w:space="0"/>
              <w:bottom w:val="single" w:color="000000" w:sz="4" w:space="0"/>
              <w:right w:val="single" w:color="auto" w:sz="4" w:space="0"/>
            </w:tcBorders>
            <w:vAlign w:val="center"/>
          </w:tcPr>
          <w:p>
            <w:pPr>
              <w:keepNext w:val="0"/>
              <w:keepLines w:val="0"/>
              <w:suppressLineNumbers w:val="0"/>
              <w:spacing w:before="0" w:beforeAutospacing="0" w:after="0" w:afterAutospacing="0"/>
              <w:ind w:left="0" w:right="0"/>
              <w:rPr>
                <w:rFonts w:hint="eastAsia" w:ascii="仿宋_GB2312" w:hAnsi="仿宋_GB2312" w:eastAsia="仿宋_GB2312" w:cs="仿宋_GB2312"/>
                <w:sz w:val="20"/>
                <w:szCs w:val="20"/>
              </w:rPr>
            </w:pPr>
          </w:p>
        </w:tc>
        <w:tc>
          <w:tcPr>
            <w:tcW w:w="660" w:type="dxa"/>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满意度指标</w:t>
            </w:r>
          </w:p>
        </w:tc>
        <w:tc>
          <w:tcPr>
            <w:tcW w:w="915" w:type="dxa"/>
            <w:gridSpan w:val="2"/>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服务对象满意度指标</w:t>
            </w:r>
          </w:p>
        </w:tc>
        <w:tc>
          <w:tcPr>
            <w:tcW w:w="1440"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使服务对象满意</w:t>
            </w:r>
          </w:p>
        </w:tc>
        <w:tc>
          <w:tcPr>
            <w:tcW w:w="1590" w:type="dxa"/>
            <w:gridSpan w:val="2"/>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firstLine="400" w:firstLineChars="200"/>
              <w:jc w:val="both"/>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tc>
        <w:tc>
          <w:tcPr>
            <w:tcW w:w="840" w:type="dxa"/>
            <w:tcBorders>
              <w:top w:val="nil"/>
              <w:left w:val="single" w:color="auto" w:sz="4" w:space="0"/>
              <w:bottom w:val="single" w:color="000000"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服务对</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象满意</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度指标</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lang w:eastAsia="zh-CN"/>
              </w:rPr>
              <w:t>使服务对象满意</w:t>
            </w:r>
          </w:p>
        </w:tc>
        <w:tc>
          <w:tcPr>
            <w:tcW w:w="1575" w:type="dxa"/>
            <w:tcBorders>
              <w:top w:val="nil"/>
              <w:left w:val="nil"/>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≥95%</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0"/>
                <w:szCs w:val="20"/>
              </w:rPr>
            </w:pPr>
          </w:p>
        </w:tc>
      </w:tr>
    </w:tbl>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w:t>
      </w:r>
      <w:r>
        <w:rPr>
          <w:rFonts w:hint="eastAsia" w:ascii="仿宋_GB2312" w:hAnsi="楷体" w:eastAsia="仿宋_GB2312"/>
          <w:b/>
          <w:sz w:val="32"/>
          <w:szCs w:val="32"/>
          <w:lang w:eastAsia="zh-CN"/>
        </w:rPr>
        <w:t>三</w:t>
      </w:r>
      <w:r>
        <w:rPr>
          <w:rFonts w:hint="eastAsia" w:ascii="仿宋_GB2312" w:hAnsi="楷体" w:eastAsia="仿宋_GB2312"/>
          <w:b/>
          <w:sz w:val="32"/>
          <w:szCs w:val="32"/>
        </w:rPr>
        <w:t>）机关运行经费。</w:t>
      </w:r>
    </w:p>
    <w:p>
      <w:pPr>
        <w:adjustRightInd w:val="0"/>
        <w:snapToGrid w:val="0"/>
        <w:spacing w:line="600" w:lineRule="exact"/>
        <w:ind w:firstLine="640" w:firstLineChars="200"/>
        <w:rPr>
          <w:rFonts w:ascii="仿宋_GB2312" w:hAnsi="仿宋" w:eastAsia="仿宋_GB231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仿宋" w:eastAsia="仿宋_GB2312"/>
          <w:sz w:val="32"/>
          <w:szCs w:val="32"/>
          <w:lang w:eastAsia="zh-CN"/>
        </w:rPr>
        <w:t>2022</w:t>
      </w:r>
      <w:r>
        <w:rPr>
          <w:rFonts w:hint="eastAsia" w:ascii="仿宋_GB2312" w:hAnsi="仿宋" w:eastAsia="仿宋_GB2312"/>
          <w:sz w:val="32"/>
          <w:szCs w:val="32"/>
        </w:rPr>
        <w:t>年机关运行经费财政拨款预算</w:t>
      </w:r>
      <w:r>
        <w:rPr>
          <w:rFonts w:hint="eastAsia" w:ascii="仿宋_GB2312" w:hAnsi="仿宋" w:eastAsia="仿宋_GB2312"/>
          <w:sz w:val="32"/>
          <w:szCs w:val="32"/>
          <w:lang w:val="en-US" w:eastAsia="zh-CN"/>
        </w:rPr>
        <w:t>9.57</w:t>
      </w:r>
      <w:r>
        <w:rPr>
          <w:rFonts w:hint="eastAsia" w:ascii="仿宋_GB2312" w:hAnsi="仿宋" w:eastAsia="仿宋_GB2312"/>
          <w:sz w:val="32"/>
          <w:szCs w:val="32"/>
        </w:rPr>
        <w:t>万元，比</w:t>
      </w:r>
      <w:r>
        <w:rPr>
          <w:rFonts w:hint="eastAsia" w:ascii="仿宋_GB2312" w:hAnsi="仿宋" w:eastAsia="仿宋_GB2312"/>
          <w:sz w:val="32"/>
          <w:szCs w:val="32"/>
          <w:lang w:eastAsia="zh-CN"/>
        </w:rPr>
        <w:t>2021</w:t>
      </w:r>
      <w:r>
        <w:rPr>
          <w:rFonts w:hint="eastAsia" w:ascii="仿宋_GB2312" w:hAnsi="仿宋" w:eastAsia="仿宋_GB2312"/>
          <w:sz w:val="32"/>
          <w:szCs w:val="32"/>
        </w:rPr>
        <w:t>年减少</w:t>
      </w:r>
      <w:r>
        <w:rPr>
          <w:rFonts w:hint="eastAsia" w:ascii="仿宋_GB2312" w:hAnsi="仿宋" w:eastAsia="仿宋_GB2312"/>
          <w:sz w:val="32"/>
          <w:szCs w:val="32"/>
          <w:lang w:val="en-US" w:eastAsia="zh-CN"/>
        </w:rPr>
        <w:t>3.80</w:t>
      </w:r>
      <w:r>
        <w:rPr>
          <w:rFonts w:hint="eastAsia" w:ascii="仿宋_GB2312" w:hAnsi="仿宋" w:eastAsia="仿宋_GB2312"/>
          <w:sz w:val="32"/>
          <w:szCs w:val="32"/>
        </w:rPr>
        <w:t>万元，下降</w:t>
      </w:r>
      <w:r>
        <w:rPr>
          <w:rFonts w:hint="eastAsia" w:ascii="仿宋_GB2312" w:hAnsi="仿宋" w:eastAsia="仿宋_GB2312"/>
          <w:sz w:val="32"/>
          <w:szCs w:val="32"/>
          <w:lang w:val="en-US" w:eastAsia="zh-CN"/>
        </w:rPr>
        <w:t>28.42</w:t>
      </w:r>
      <w:r>
        <w:rPr>
          <w:rFonts w:hint="eastAsia" w:ascii="仿宋_GB2312" w:hAnsi="仿宋" w:eastAsia="仿宋_GB2312"/>
          <w:sz w:val="32"/>
          <w:szCs w:val="32"/>
        </w:rPr>
        <w:t>%，下降主要原因是</w:t>
      </w:r>
      <w:r>
        <w:rPr>
          <w:rFonts w:hint="eastAsia" w:ascii="仿宋_GB2312" w:hAnsi="仿宋" w:eastAsia="仿宋_GB2312"/>
          <w:sz w:val="32"/>
          <w:szCs w:val="32"/>
          <w:lang w:eastAsia="zh-CN"/>
        </w:rPr>
        <w:t>机关运行经费口径调整。</w:t>
      </w:r>
    </w:p>
    <w:p>
      <w:pPr>
        <w:adjustRightInd w:val="0"/>
        <w:snapToGrid w:val="0"/>
        <w:spacing w:line="60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w:t>
      </w:r>
      <w:r>
        <w:rPr>
          <w:rFonts w:hint="eastAsia" w:ascii="仿宋_GB2312" w:hAnsi="楷体" w:eastAsia="仿宋_GB2312"/>
          <w:b/>
          <w:sz w:val="32"/>
          <w:szCs w:val="32"/>
          <w:lang w:eastAsia="zh-CN"/>
        </w:rPr>
        <w:t>四</w:t>
      </w:r>
      <w:r>
        <w:rPr>
          <w:rFonts w:hint="eastAsia" w:ascii="仿宋_GB2312" w:hAnsi="楷体" w:eastAsia="仿宋_GB2312"/>
          <w:b/>
          <w:sz w:val="32"/>
          <w:szCs w:val="32"/>
        </w:rPr>
        <w:t>）政府采购情况。</w:t>
      </w:r>
    </w:p>
    <w:p>
      <w:pPr>
        <w:adjustRightInd w:val="0"/>
        <w:snapToGrid w:val="0"/>
        <w:spacing w:line="600" w:lineRule="exact"/>
        <w:ind w:firstLine="640" w:firstLineChars="200"/>
        <w:rPr>
          <w:rFonts w:ascii="仿宋_GB2312" w:hAnsi="楷体" w:eastAsia="仿宋_GB2312"/>
          <w:sz w:val="32"/>
          <w:szCs w:val="32"/>
        </w:rPr>
      </w:pPr>
      <w:r>
        <w:rPr>
          <w:rFonts w:hint="eastAsia" w:ascii="仿宋_GB2312" w:hAnsi="仿宋" w:eastAsia="仿宋_GB2312" w:cs="Times New Roman"/>
          <w:sz w:val="32"/>
          <w:szCs w:val="32"/>
          <w:lang w:eastAsia="zh-CN"/>
        </w:rPr>
        <w:t>中国致公党安庆市委员会</w:t>
      </w:r>
      <w:r>
        <w:rPr>
          <w:rFonts w:hint="eastAsia" w:ascii="仿宋_GB2312" w:hAnsi="楷体" w:eastAsia="仿宋_GB2312"/>
          <w:sz w:val="32"/>
          <w:szCs w:val="32"/>
          <w:lang w:eastAsia="zh-CN"/>
        </w:rPr>
        <w:t>2022</w:t>
      </w:r>
      <w:r>
        <w:rPr>
          <w:rFonts w:hint="eastAsia" w:ascii="仿宋_GB2312" w:hAnsi="楷体" w:eastAsia="仿宋_GB2312"/>
          <w:sz w:val="32"/>
          <w:szCs w:val="32"/>
        </w:rPr>
        <w:t>年政府采购预算</w:t>
      </w:r>
      <w:r>
        <w:rPr>
          <w:rFonts w:hint="eastAsia" w:ascii="仿宋_GB2312" w:hAnsi="楷体" w:eastAsia="仿宋_GB2312"/>
          <w:sz w:val="32"/>
          <w:szCs w:val="32"/>
          <w:lang w:val="en-US" w:eastAsia="zh-CN"/>
        </w:rPr>
        <w:t>0</w:t>
      </w:r>
      <w:r>
        <w:rPr>
          <w:rFonts w:hint="eastAsia" w:ascii="仿宋_GB2312" w:hAnsi="楷体" w:eastAsia="仿宋_GB2312"/>
          <w:sz w:val="32"/>
          <w:szCs w:val="32"/>
        </w:rPr>
        <w:t>万元。其中：政府采购货物预算0万元，政府采购工程预算0万元，政府采购服务预算</w:t>
      </w:r>
      <w:r>
        <w:rPr>
          <w:rFonts w:hint="eastAsia" w:ascii="仿宋_GB2312" w:hAnsi="楷体" w:eastAsia="仿宋_GB2312"/>
          <w:sz w:val="32"/>
          <w:szCs w:val="32"/>
          <w:lang w:val="en-US" w:eastAsia="zh-CN"/>
        </w:rPr>
        <w:t>0</w:t>
      </w:r>
      <w:r>
        <w:rPr>
          <w:rFonts w:hint="eastAsia" w:ascii="仿宋_GB2312" w:hAnsi="楷体" w:eastAsia="仿宋_GB2312"/>
          <w:sz w:val="32"/>
          <w:szCs w:val="32"/>
        </w:rPr>
        <w:t>万元。</w:t>
      </w:r>
    </w:p>
    <w:p>
      <w:pPr>
        <w:adjustRightInd w:val="0"/>
        <w:snapToGrid w:val="0"/>
        <w:spacing w:line="600" w:lineRule="exact"/>
        <w:ind w:firstLine="643" w:firstLineChars="200"/>
        <w:rPr>
          <w:rFonts w:ascii="仿宋_GB2312" w:hAnsi="楷体" w:eastAsia="仿宋_GB2312"/>
          <w:b/>
          <w:sz w:val="32"/>
          <w:szCs w:val="32"/>
          <w:highlight w:val="none"/>
        </w:rPr>
      </w:pPr>
      <w:bookmarkStart w:id="0" w:name="_GoBack"/>
      <w:bookmarkEnd w:id="0"/>
      <w:r>
        <w:rPr>
          <w:rFonts w:hint="eastAsia" w:ascii="仿宋_GB2312" w:hAnsi="楷体" w:eastAsia="仿宋_GB2312"/>
          <w:b/>
          <w:sz w:val="32"/>
          <w:szCs w:val="32"/>
          <w:highlight w:val="none"/>
        </w:rPr>
        <w:t>（</w:t>
      </w:r>
      <w:r>
        <w:rPr>
          <w:rFonts w:hint="eastAsia" w:ascii="仿宋_GB2312" w:hAnsi="楷体" w:eastAsia="仿宋_GB2312"/>
          <w:b/>
          <w:sz w:val="32"/>
          <w:szCs w:val="32"/>
          <w:highlight w:val="none"/>
          <w:lang w:eastAsia="zh-CN"/>
        </w:rPr>
        <w:t>五</w:t>
      </w:r>
      <w:r>
        <w:rPr>
          <w:rFonts w:hint="eastAsia" w:ascii="仿宋_GB2312" w:hAnsi="楷体" w:eastAsia="仿宋_GB2312"/>
          <w:b/>
          <w:sz w:val="32"/>
          <w:szCs w:val="32"/>
          <w:highlight w:val="none"/>
        </w:rPr>
        <w:t>）国有资产占有使用情况。</w:t>
      </w:r>
    </w:p>
    <w:p>
      <w:pPr>
        <w:adjustRightInd w:val="0"/>
        <w:snapToGrid w:val="0"/>
        <w:spacing w:line="600" w:lineRule="exact"/>
        <w:ind w:firstLine="640" w:firstLineChars="200"/>
        <w:rPr>
          <w:rFonts w:hint="eastAsia" w:ascii="仿宋_GB2312" w:hAnsi="仿宋" w:eastAsia="仿宋_GB2312" w:cs="Times New Roman"/>
          <w:sz w:val="32"/>
          <w:szCs w:val="32"/>
          <w:lang w:eastAsia="zh-CN"/>
        </w:rPr>
      </w:pPr>
      <w:r>
        <w:rPr>
          <w:rFonts w:hint="eastAsia" w:ascii="仿宋_GB2312" w:hAnsi="仿宋" w:eastAsia="仿宋_GB2312" w:cs="Times New Roman"/>
          <w:sz w:val="32"/>
          <w:szCs w:val="32"/>
          <w:lang w:eastAsia="zh-CN"/>
        </w:rPr>
        <w:t>截至202</w:t>
      </w:r>
      <w:r>
        <w:rPr>
          <w:rFonts w:hint="eastAsia" w:ascii="仿宋_GB2312" w:hAnsi="仿宋" w:eastAsia="仿宋_GB2312" w:cs="Times New Roman"/>
          <w:sz w:val="32"/>
          <w:szCs w:val="32"/>
          <w:lang w:val="en-US" w:eastAsia="zh-CN"/>
        </w:rPr>
        <w:t>1</w:t>
      </w:r>
      <w:r>
        <w:rPr>
          <w:rFonts w:hint="eastAsia" w:ascii="仿宋_GB2312" w:hAnsi="仿宋" w:eastAsia="仿宋_GB2312" w:cs="Times New Roman"/>
          <w:sz w:val="32"/>
          <w:szCs w:val="32"/>
          <w:lang w:eastAsia="zh-CN"/>
        </w:rPr>
        <w:t>年12月31日，中国致公党安庆市委员会共有车辆</w:t>
      </w:r>
      <w:r>
        <w:rPr>
          <w:rFonts w:hint="eastAsia" w:ascii="仿宋_GB2312" w:hAnsi="仿宋" w:eastAsia="仿宋_GB2312" w:cs="Times New Roman"/>
          <w:sz w:val="32"/>
          <w:szCs w:val="32"/>
          <w:lang w:val="en-US" w:eastAsia="zh-CN"/>
        </w:rPr>
        <w:t>0</w:t>
      </w:r>
      <w:r>
        <w:rPr>
          <w:rFonts w:hint="eastAsia" w:ascii="仿宋_GB2312" w:hAnsi="仿宋" w:eastAsia="仿宋_GB2312" w:cs="Times New Roman"/>
          <w:sz w:val="32"/>
          <w:szCs w:val="32"/>
          <w:lang w:eastAsia="zh-CN"/>
        </w:rPr>
        <w:t>辆。单位价值50万元以上的通用设备</w:t>
      </w:r>
      <w:r>
        <w:rPr>
          <w:rFonts w:hint="eastAsia" w:ascii="仿宋_GB2312" w:hAnsi="仿宋" w:eastAsia="仿宋_GB2312" w:cs="Times New Roman"/>
          <w:sz w:val="32"/>
          <w:szCs w:val="32"/>
          <w:lang w:val="en-US" w:eastAsia="zh-CN"/>
        </w:rPr>
        <w:t>0</w:t>
      </w:r>
      <w:r>
        <w:rPr>
          <w:rFonts w:hint="eastAsia" w:ascii="仿宋_GB2312" w:hAnsi="仿宋" w:eastAsia="仿宋_GB2312" w:cs="Times New Roman"/>
          <w:sz w:val="32"/>
          <w:szCs w:val="32"/>
          <w:lang w:eastAsia="zh-CN"/>
        </w:rPr>
        <w:t>台（套），单位价值100万元以上的专用设备</w:t>
      </w:r>
      <w:r>
        <w:rPr>
          <w:rFonts w:hint="eastAsia" w:ascii="仿宋_GB2312" w:hAnsi="仿宋" w:eastAsia="仿宋_GB2312" w:cs="Times New Roman"/>
          <w:sz w:val="32"/>
          <w:szCs w:val="32"/>
          <w:lang w:val="en-US" w:eastAsia="zh-CN"/>
        </w:rPr>
        <w:t>0</w:t>
      </w:r>
      <w:r>
        <w:rPr>
          <w:rFonts w:hint="eastAsia" w:ascii="仿宋_GB2312" w:hAnsi="仿宋" w:eastAsia="仿宋_GB2312" w:cs="Times New Roman"/>
          <w:sz w:val="32"/>
          <w:szCs w:val="32"/>
          <w:lang w:eastAsia="zh-CN"/>
        </w:rPr>
        <w:t>台（套）。</w:t>
      </w:r>
    </w:p>
    <w:p>
      <w:pPr>
        <w:adjustRightInd w:val="0"/>
        <w:snapToGrid w:val="0"/>
        <w:spacing w:line="600" w:lineRule="exact"/>
        <w:ind w:firstLine="640" w:firstLineChars="200"/>
        <w:rPr>
          <w:rFonts w:ascii="黑体" w:eastAsia="黑体" w:cs="宋体"/>
          <w:sz w:val="36"/>
          <w:szCs w:val="36"/>
        </w:rPr>
      </w:pPr>
      <w:r>
        <w:rPr>
          <w:rFonts w:hint="eastAsia" w:ascii="仿宋_GB2312" w:hAnsi="楷体" w:eastAsia="仿宋_GB2312"/>
          <w:sz w:val="32"/>
          <w:szCs w:val="32"/>
        </w:rPr>
        <w:t>202</w:t>
      </w:r>
      <w:r>
        <w:rPr>
          <w:rFonts w:hint="eastAsia" w:ascii="仿宋_GB2312" w:hAnsi="楷体" w:eastAsia="仿宋_GB2312"/>
          <w:sz w:val="32"/>
          <w:szCs w:val="32"/>
          <w:lang w:val="en-US" w:eastAsia="zh-CN"/>
        </w:rPr>
        <w:t>2</w:t>
      </w:r>
      <w:r>
        <w:rPr>
          <w:rFonts w:hint="eastAsia" w:ascii="仿宋_GB2312" w:hAnsi="楷体" w:eastAsia="仿宋_GB2312"/>
          <w:sz w:val="32"/>
          <w:szCs w:val="32"/>
        </w:rPr>
        <w:t>年部门预算安排购置公务用车</w:t>
      </w:r>
      <w:r>
        <w:rPr>
          <w:rFonts w:hint="eastAsia" w:ascii="仿宋_GB2312" w:hAnsi="楷体" w:eastAsia="仿宋_GB2312"/>
          <w:sz w:val="32"/>
          <w:szCs w:val="32"/>
          <w:lang w:val="en-US" w:eastAsia="zh-CN"/>
        </w:rPr>
        <w:t>0</w:t>
      </w:r>
      <w:r>
        <w:rPr>
          <w:rFonts w:hint="eastAsia" w:ascii="仿宋_GB2312" w:hAnsi="楷体" w:eastAsia="仿宋_GB2312"/>
          <w:sz w:val="32"/>
          <w:szCs w:val="32"/>
        </w:rPr>
        <w:t>辆，购置费</w:t>
      </w:r>
      <w:r>
        <w:rPr>
          <w:rFonts w:hint="eastAsia" w:ascii="仿宋_GB2312" w:hAnsi="楷体" w:eastAsia="仿宋_GB2312"/>
          <w:sz w:val="32"/>
          <w:szCs w:val="32"/>
          <w:lang w:val="en-US" w:eastAsia="zh-CN"/>
        </w:rPr>
        <w:t>0</w:t>
      </w:r>
      <w:r>
        <w:rPr>
          <w:rFonts w:hint="eastAsia" w:ascii="仿宋_GB2312" w:hAnsi="楷体" w:eastAsia="仿宋_GB2312"/>
          <w:sz w:val="32"/>
          <w:szCs w:val="32"/>
        </w:rPr>
        <w:t>万元；安排购置单位价值50万元以上的通用设备</w:t>
      </w:r>
      <w:r>
        <w:rPr>
          <w:rFonts w:hint="eastAsia" w:ascii="仿宋_GB2312" w:hAnsi="楷体" w:eastAsia="仿宋_GB2312"/>
          <w:sz w:val="32"/>
          <w:szCs w:val="32"/>
          <w:lang w:val="en-US" w:eastAsia="zh-CN"/>
        </w:rPr>
        <w:t>0</w:t>
      </w:r>
      <w:r>
        <w:rPr>
          <w:rFonts w:hint="eastAsia" w:ascii="仿宋_GB2312" w:hAnsi="楷体" w:eastAsia="仿宋_GB2312"/>
          <w:sz w:val="32"/>
          <w:szCs w:val="32"/>
        </w:rPr>
        <w:t>台（套），购置费</w:t>
      </w:r>
      <w:r>
        <w:rPr>
          <w:rFonts w:hint="eastAsia" w:ascii="仿宋_GB2312" w:hAnsi="楷体" w:eastAsia="仿宋_GB2312"/>
          <w:sz w:val="32"/>
          <w:szCs w:val="32"/>
          <w:lang w:val="en-US" w:eastAsia="zh-CN"/>
        </w:rPr>
        <w:t>0</w:t>
      </w:r>
      <w:r>
        <w:rPr>
          <w:rFonts w:hint="eastAsia" w:ascii="仿宋_GB2312" w:hAnsi="楷体" w:eastAsia="仿宋_GB2312"/>
          <w:sz w:val="32"/>
          <w:szCs w:val="32"/>
        </w:rPr>
        <w:t>万元；安排购置单位价值100万元以上专用设备</w:t>
      </w:r>
      <w:r>
        <w:rPr>
          <w:rFonts w:hint="eastAsia" w:ascii="仿宋_GB2312" w:hAnsi="楷体" w:eastAsia="仿宋_GB2312"/>
          <w:sz w:val="32"/>
          <w:szCs w:val="32"/>
          <w:lang w:val="en-US" w:eastAsia="zh-CN"/>
        </w:rPr>
        <w:t>0</w:t>
      </w:r>
      <w:r>
        <w:rPr>
          <w:rFonts w:hint="eastAsia" w:ascii="仿宋_GB2312" w:hAnsi="楷体" w:eastAsia="仿宋_GB2312"/>
          <w:sz w:val="32"/>
          <w:szCs w:val="32"/>
        </w:rPr>
        <w:t>台（套），购置费</w:t>
      </w:r>
      <w:r>
        <w:rPr>
          <w:rFonts w:hint="eastAsia" w:ascii="仿宋_GB2312" w:hAnsi="楷体" w:eastAsia="仿宋_GB2312"/>
          <w:sz w:val="32"/>
          <w:szCs w:val="32"/>
          <w:lang w:val="en-US" w:eastAsia="zh-CN"/>
        </w:rPr>
        <w:t>0</w:t>
      </w:r>
      <w:r>
        <w:rPr>
          <w:rFonts w:hint="eastAsia" w:ascii="仿宋_GB2312" w:hAnsi="楷体" w:eastAsia="仿宋_GB2312"/>
          <w:sz w:val="32"/>
          <w:szCs w:val="32"/>
        </w:rPr>
        <w:t>万元。</w:t>
      </w:r>
    </w:p>
    <w:p>
      <w:pPr>
        <w:adjustRightInd w:val="0"/>
        <w:snapToGrid w:val="0"/>
        <w:spacing w:line="600" w:lineRule="exact"/>
        <w:jc w:val="center"/>
        <w:rPr>
          <w:rFonts w:ascii="黑体" w:eastAsia="黑体" w:cs="宋体"/>
          <w:sz w:val="36"/>
          <w:szCs w:val="36"/>
        </w:rPr>
      </w:pPr>
      <w:r>
        <w:rPr>
          <w:rFonts w:hint="eastAsia" w:ascii="黑体" w:eastAsia="黑体" w:cs="宋体"/>
          <w:sz w:val="36"/>
          <w:szCs w:val="36"/>
        </w:rPr>
        <w:t>第四部分 名词解释</w:t>
      </w:r>
    </w:p>
    <w:p>
      <w:pPr>
        <w:adjustRightInd w:val="0"/>
        <w:snapToGrid w:val="0"/>
        <w:spacing w:line="600" w:lineRule="exact"/>
        <w:jc w:val="center"/>
        <w:rPr>
          <w:rFonts w:ascii="黑体" w:hAnsi="黑体" w:eastAsia="黑体"/>
          <w:sz w:val="32"/>
          <w:szCs w:val="32"/>
        </w:rPr>
      </w:pPr>
    </w:p>
    <w:p>
      <w:pPr>
        <w:adjustRightInd w:val="0"/>
        <w:snapToGrid w:val="0"/>
        <w:spacing w:line="600" w:lineRule="exact"/>
        <w:ind w:firstLine="640" w:firstLineChars="200"/>
        <w:rPr>
          <w:rFonts w:ascii="仿宋_GB2312" w:hAnsi="仿宋" w:eastAsia="仿宋_GB2312"/>
          <w:sz w:val="32"/>
          <w:szCs w:val="32"/>
        </w:rPr>
      </w:pPr>
      <w:r>
        <w:rPr>
          <w:rFonts w:hint="eastAsia" w:ascii="黑体" w:hAnsi="仿宋" w:eastAsia="黑体"/>
          <w:sz w:val="32"/>
          <w:szCs w:val="32"/>
        </w:rPr>
        <w:t>一、财政拨款收入</w:t>
      </w:r>
      <w:r>
        <w:rPr>
          <w:rFonts w:hint="eastAsia" w:ascii="仿宋_GB2312" w:hAnsi="仿宋" w:eastAsia="仿宋_GB2312"/>
          <w:b/>
          <w:sz w:val="32"/>
          <w:szCs w:val="32"/>
        </w:rPr>
        <w:t>：</w:t>
      </w:r>
      <w:r>
        <w:rPr>
          <w:rFonts w:hint="eastAsia" w:ascii="仿宋_GB2312" w:hAnsi="仿宋" w:eastAsia="仿宋_GB2312"/>
          <w:sz w:val="32"/>
          <w:szCs w:val="32"/>
        </w:rPr>
        <w:t>指部门或单位从同级财政部门取得的财政预算资金。</w:t>
      </w:r>
    </w:p>
    <w:p>
      <w:pPr>
        <w:pStyle w:val="4"/>
        <w:adjustRightInd w:val="0"/>
        <w:snapToGrid w:val="0"/>
        <w:spacing w:line="600" w:lineRule="exact"/>
        <w:ind w:firstLine="627" w:firstLineChars="196"/>
        <w:rPr>
          <w:rFonts w:ascii="黑体" w:hAnsi="黑体" w:eastAsia="黑体"/>
          <w:sz w:val="32"/>
          <w:szCs w:val="32"/>
        </w:rPr>
      </w:pPr>
      <w:r>
        <w:rPr>
          <w:rFonts w:hint="eastAsia" w:ascii="黑体" w:hAnsi="仿宋" w:eastAsia="黑体" w:cstheme="minorBidi"/>
          <w:kern w:val="2"/>
          <w:sz w:val="32"/>
          <w:szCs w:val="32"/>
        </w:rPr>
        <w:t>二、事业收入：</w:t>
      </w:r>
      <w:r>
        <w:rPr>
          <w:rFonts w:hint="eastAsia" w:ascii="仿宋_GB2312" w:hAnsi="仿宋" w:eastAsia="仿宋_GB2312" w:cstheme="minorBidi"/>
          <w:kern w:val="2"/>
          <w:sz w:val="32"/>
          <w:szCs w:val="32"/>
        </w:rPr>
        <w:t>指事业单位开展专业业务活动及辅助活动所取得的收入。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三、财政专户管理资金：</w:t>
      </w:r>
      <w:r>
        <w:rPr>
          <w:rFonts w:hint="eastAsia" w:ascii="仿宋_GB2312" w:hAnsi="仿宋" w:eastAsia="仿宋_GB2312" w:cs="Times New Roman"/>
          <w:kern w:val="2"/>
          <w:sz w:val="32"/>
          <w:szCs w:val="32"/>
        </w:rPr>
        <w:t>指按照非税收入管理相关规定，纳入财政专户管理的教育收费等。</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四、事业单位经营收入：</w:t>
      </w:r>
      <w:r>
        <w:rPr>
          <w:rFonts w:hint="eastAsia" w:ascii="仿宋_GB2312" w:hAnsi="仿宋" w:eastAsia="仿宋_GB2312" w:cs="Times New Roman"/>
          <w:kern w:val="2"/>
          <w:sz w:val="32"/>
          <w:szCs w:val="32"/>
        </w:rPr>
        <w:t>指事业单位在专业业务活动及其辅助活动之外开展非独立核算经营活动取得的收入。</w:t>
      </w:r>
    </w:p>
    <w:p>
      <w:pPr>
        <w:pStyle w:val="4"/>
        <w:adjustRightInd w:val="0"/>
        <w:snapToGrid w:val="0"/>
        <w:spacing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五、附属单位上缴收入：</w:t>
      </w:r>
      <w:r>
        <w:rPr>
          <w:rFonts w:hint="eastAsia" w:ascii="仿宋_GB2312" w:hAnsi="仿宋" w:eastAsia="仿宋_GB2312" w:cs="Times New Roman"/>
          <w:kern w:val="2"/>
          <w:sz w:val="32"/>
          <w:szCs w:val="32"/>
        </w:rPr>
        <w:t>本单位所属下级单位上缴给本单位的全部收入。</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六、上年结转：</w:t>
      </w:r>
      <w:r>
        <w:rPr>
          <w:rFonts w:hint="eastAsia" w:ascii="仿宋_GB2312" w:hAnsi="仿宋" w:eastAsia="仿宋_GB2312" w:cs="Times New Roman"/>
          <w:kern w:val="2"/>
          <w:sz w:val="32"/>
          <w:szCs w:val="32"/>
        </w:rPr>
        <w:t>指以前年度安排、结转到本年仍按原用途继续使用的资金。</w:t>
      </w:r>
    </w:p>
    <w:p>
      <w:pPr>
        <w:pStyle w:val="4"/>
        <w:adjustRightInd w:val="0"/>
        <w:snapToGrid w:val="0"/>
        <w:spacing w:before="0" w:beforeAutospacing="0" w:after="0" w:afterAutospacing="0" w:line="600" w:lineRule="exact"/>
        <w:ind w:firstLine="627" w:firstLineChars="196"/>
        <w:rPr>
          <w:rFonts w:ascii="仿宋_GB2312" w:hAnsi="仿宋" w:eastAsia="仿宋_GB2312" w:cs="Times New Roman"/>
          <w:kern w:val="2"/>
          <w:sz w:val="32"/>
          <w:szCs w:val="32"/>
        </w:rPr>
      </w:pPr>
      <w:r>
        <w:rPr>
          <w:rFonts w:hint="eastAsia" w:ascii="黑体" w:hAnsi="黑体" w:eastAsia="黑体"/>
          <w:sz w:val="32"/>
          <w:szCs w:val="32"/>
        </w:rPr>
        <w:t>七、结转下年：</w:t>
      </w:r>
      <w:r>
        <w:rPr>
          <w:rFonts w:hint="eastAsia" w:ascii="仿宋_GB2312" w:hAnsi="仿宋" w:eastAsia="仿宋_GB2312" w:cs="Times New Roman"/>
          <w:kern w:val="2"/>
          <w:sz w:val="32"/>
          <w:szCs w:val="32"/>
        </w:rPr>
        <w:t>指以前年度预算安排、因客观条件发生变化无法按原计划实施，需以后年度按原用途继续使用的资金。</w:t>
      </w:r>
    </w:p>
    <w:p>
      <w:pPr>
        <w:pStyle w:val="4"/>
        <w:adjustRightInd w:val="0"/>
        <w:snapToGrid w:val="0"/>
        <w:spacing w:before="0" w:beforeAutospacing="0" w:after="0" w:afterAutospacing="0" w:line="600" w:lineRule="exact"/>
        <w:ind w:firstLine="627" w:firstLineChars="196"/>
        <w:rPr>
          <w:rFonts w:ascii="仿宋_GB2312" w:hAnsi="黑体" w:eastAsia="仿宋_GB2312"/>
          <w:sz w:val="32"/>
          <w:szCs w:val="32"/>
        </w:rPr>
      </w:pPr>
      <w:r>
        <w:rPr>
          <w:rFonts w:hint="eastAsia" w:ascii="黑体" w:hAnsi="黑体" w:eastAsia="黑体"/>
          <w:sz w:val="32"/>
          <w:szCs w:val="32"/>
        </w:rPr>
        <w:t>八、基本支出</w:t>
      </w:r>
      <w:r>
        <w:rPr>
          <w:rFonts w:hint="eastAsia" w:ascii="仿宋_GB2312" w:hAnsi="黑体" w:eastAsia="仿宋_GB2312"/>
          <w:b/>
          <w:sz w:val="32"/>
          <w:szCs w:val="32"/>
        </w:rPr>
        <w:t>：</w:t>
      </w:r>
      <w:r>
        <w:rPr>
          <w:rFonts w:hint="eastAsia" w:ascii="仿宋_GB2312" w:hAnsi="黑体" w:eastAsia="仿宋_GB2312"/>
          <w:sz w:val="32"/>
          <w:szCs w:val="32"/>
        </w:rPr>
        <w:t>指为保障机构正常运转、完成日常工作任务而发生的人员支出和公用支出。</w:t>
      </w:r>
    </w:p>
    <w:p>
      <w:pPr>
        <w:pStyle w:val="4"/>
        <w:spacing w:before="0" w:beforeAutospacing="0" w:after="0" w:afterAutospacing="0" w:line="600" w:lineRule="exact"/>
        <w:ind w:firstLine="627" w:firstLineChars="196"/>
        <w:jc w:val="both"/>
        <w:rPr>
          <w:rFonts w:ascii="仿宋_GB2312" w:hAnsi="黑体" w:eastAsia="仿宋_GB2312"/>
          <w:sz w:val="32"/>
          <w:szCs w:val="32"/>
        </w:rPr>
      </w:pPr>
      <w:r>
        <w:rPr>
          <w:rFonts w:hint="eastAsia" w:ascii="黑体" w:hAnsi="黑体" w:eastAsia="黑体"/>
          <w:sz w:val="32"/>
          <w:szCs w:val="32"/>
        </w:rPr>
        <w:t>九、项目支出</w:t>
      </w:r>
      <w:r>
        <w:rPr>
          <w:rFonts w:hint="eastAsia" w:ascii="仿宋_GB2312" w:hAnsi="黑体" w:eastAsia="仿宋_GB2312"/>
          <w:b/>
          <w:sz w:val="32"/>
          <w:szCs w:val="32"/>
        </w:rPr>
        <w:t>：</w:t>
      </w:r>
      <w:r>
        <w:rPr>
          <w:rFonts w:hint="eastAsia" w:ascii="仿宋_GB2312" w:hAnsi="黑体" w:eastAsia="仿宋_GB2312"/>
          <w:sz w:val="32"/>
          <w:szCs w:val="32"/>
        </w:rPr>
        <w:t>指在除基本支出之外的支出，主要用于完成特定的工作任务和事业发展目标。</w:t>
      </w:r>
      <w:r>
        <w:rPr>
          <w:rFonts w:ascii="仿宋_GB2312" w:hAnsi="黑体" w:eastAsia="仿宋_GB2312"/>
          <w:sz w:val="32"/>
          <w:szCs w:val="32"/>
        </w:rPr>
        <w:br w:type="textWrapping"/>
      </w:r>
      <w:r>
        <w:rPr>
          <w:rFonts w:hint="eastAsia" w:ascii="仿宋_GB2312" w:hAnsi="黑体" w:eastAsia="仿宋_GB2312"/>
          <w:sz w:val="32"/>
          <w:szCs w:val="32"/>
        </w:rPr>
        <w:t xml:space="preserve">   </w:t>
      </w:r>
      <w:r>
        <w:rPr>
          <w:rFonts w:hint="eastAsia" w:ascii="黑体" w:hAnsi="黑体" w:eastAsia="黑体"/>
          <w:sz w:val="32"/>
          <w:szCs w:val="32"/>
        </w:rPr>
        <w:t xml:space="preserve"> 十、机关运行经费:</w:t>
      </w:r>
      <w:r>
        <w:rPr>
          <w:rFonts w:hint="eastAsia" w:ascii="仿宋_GB2312" w:hAnsi="黑体" w:eastAsia="仿宋_GB2312"/>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55711"/>
    </w:sdtPr>
    <w:sdtContent>
      <w:p>
        <w:pPr>
          <w:pStyle w:val="2"/>
          <w:jc w:val="right"/>
        </w:pPr>
        <w:r>
          <w:fldChar w:fldCharType="begin"/>
        </w:r>
        <w:r>
          <w:instrText xml:space="preserve"> PAGE   \* MERGEFORMAT </w:instrText>
        </w:r>
        <w:r>
          <w:fldChar w:fldCharType="separate"/>
        </w:r>
        <w:r>
          <w:rPr>
            <w:lang w:val="zh-CN"/>
          </w:rPr>
          <w:t>18</w:t>
        </w:r>
        <w:r>
          <w:rPr>
            <w:lang w:val="zh-CN"/>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FD7E85"/>
    <w:multiLevelType w:val="singleLevel"/>
    <w:tmpl w:val="05FD7E85"/>
    <w:lvl w:ilvl="0" w:tentative="0">
      <w:start w:val="1"/>
      <w:numFmt w:val="chineseCounting"/>
      <w:suff w:val="nothing"/>
      <w:lvlText w:val="（%1）"/>
      <w:lvlJc w:val="left"/>
      <w:rPr>
        <w:rFonts w:hint="eastAsia"/>
      </w:rPr>
    </w:lvl>
  </w:abstractNum>
  <w:abstractNum w:abstractNumId="1">
    <w:nsid w:val="61F34332"/>
    <w:multiLevelType w:val="singleLevel"/>
    <w:tmpl w:val="61F34332"/>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liMjc1MjEzMDkzMGRjMDdmYzQ3MWM1YzViODllMjEifQ=="/>
  </w:docVars>
  <w:rsids>
    <w:rsidRoot w:val="00DA7155"/>
    <w:rsid w:val="000003C1"/>
    <w:rsid w:val="00015821"/>
    <w:rsid w:val="00016DCE"/>
    <w:rsid w:val="00026E99"/>
    <w:rsid w:val="0005090D"/>
    <w:rsid w:val="00052923"/>
    <w:rsid w:val="0005523F"/>
    <w:rsid w:val="000720A0"/>
    <w:rsid w:val="000807F9"/>
    <w:rsid w:val="000812F3"/>
    <w:rsid w:val="000859AC"/>
    <w:rsid w:val="00086992"/>
    <w:rsid w:val="0009339B"/>
    <w:rsid w:val="000945B8"/>
    <w:rsid w:val="00095C1B"/>
    <w:rsid w:val="000B486F"/>
    <w:rsid w:val="000B701A"/>
    <w:rsid w:val="000E0593"/>
    <w:rsid w:val="000F001D"/>
    <w:rsid w:val="000F35AE"/>
    <w:rsid w:val="000F6876"/>
    <w:rsid w:val="0012431A"/>
    <w:rsid w:val="00130CD5"/>
    <w:rsid w:val="00143558"/>
    <w:rsid w:val="00145AB0"/>
    <w:rsid w:val="00150DF1"/>
    <w:rsid w:val="00152846"/>
    <w:rsid w:val="00152BF2"/>
    <w:rsid w:val="00161C3F"/>
    <w:rsid w:val="00165C02"/>
    <w:rsid w:val="00166692"/>
    <w:rsid w:val="001771E6"/>
    <w:rsid w:val="001803E7"/>
    <w:rsid w:val="00194491"/>
    <w:rsid w:val="001949D0"/>
    <w:rsid w:val="001A6389"/>
    <w:rsid w:val="001A70D0"/>
    <w:rsid w:val="001C3EA4"/>
    <w:rsid w:val="001C4E9A"/>
    <w:rsid w:val="001D4149"/>
    <w:rsid w:val="001E4162"/>
    <w:rsid w:val="001E717A"/>
    <w:rsid w:val="001F54C8"/>
    <w:rsid w:val="001F739C"/>
    <w:rsid w:val="0020776B"/>
    <w:rsid w:val="00210D08"/>
    <w:rsid w:val="00226E7B"/>
    <w:rsid w:val="00234110"/>
    <w:rsid w:val="002351AD"/>
    <w:rsid w:val="002458E8"/>
    <w:rsid w:val="0024741B"/>
    <w:rsid w:val="0025289A"/>
    <w:rsid w:val="00263B7E"/>
    <w:rsid w:val="002711F0"/>
    <w:rsid w:val="002725C5"/>
    <w:rsid w:val="00277F2D"/>
    <w:rsid w:val="00280650"/>
    <w:rsid w:val="002911C3"/>
    <w:rsid w:val="00294131"/>
    <w:rsid w:val="002A6B54"/>
    <w:rsid w:val="002C2BDF"/>
    <w:rsid w:val="002C781A"/>
    <w:rsid w:val="002E11DE"/>
    <w:rsid w:val="002E284A"/>
    <w:rsid w:val="002F54FF"/>
    <w:rsid w:val="002F6AE2"/>
    <w:rsid w:val="003066B6"/>
    <w:rsid w:val="00314DEA"/>
    <w:rsid w:val="00351103"/>
    <w:rsid w:val="00352640"/>
    <w:rsid w:val="00353EE7"/>
    <w:rsid w:val="00366256"/>
    <w:rsid w:val="00370476"/>
    <w:rsid w:val="00380820"/>
    <w:rsid w:val="00383CD8"/>
    <w:rsid w:val="003B060D"/>
    <w:rsid w:val="003C17BD"/>
    <w:rsid w:val="003C40FD"/>
    <w:rsid w:val="003D30B2"/>
    <w:rsid w:val="003E096B"/>
    <w:rsid w:val="003E237C"/>
    <w:rsid w:val="003E66A3"/>
    <w:rsid w:val="003E7441"/>
    <w:rsid w:val="003E7E98"/>
    <w:rsid w:val="003F2BE9"/>
    <w:rsid w:val="003F5900"/>
    <w:rsid w:val="00415416"/>
    <w:rsid w:val="00415ED5"/>
    <w:rsid w:val="0042415B"/>
    <w:rsid w:val="00425751"/>
    <w:rsid w:val="0042713F"/>
    <w:rsid w:val="00430C41"/>
    <w:rsid w:val="00431161"/>
    <w:rsid w:val="0044737F"/>
    <w:rsid w:val="00454492"/>
    <w:rsid w:val="00482476"/>
    <w:rsid w:val="0048574C"/>
    <w:rsid w:val="004A6577"/>
    <w:rsid w:val="004A7283"/>
    <w:rsid w:val="004C3BD5"/>
    <w:rsid w:val="00514735"/>
    <w:rsid w:val="00516B0F"/>
    <w:rsid w:val="00532161"/>
    <w:rsid w:val="0053715F"/>
    <w:rsid w:val="00542173"/>
    <w:rsid w:val="00544C35"/>
    <w:rsid w:val="00557E03"/>
    <w:rsid w:val="00562B09"/>
    <w:rsid w:val="00565987"/>
    <w:rsid w:val="00574EF2"/>
    <w:rsid w:val="00577B14"/>
    <w:rsid w:val="00582209"/>
    <w:rsid w:val="00584B72"/>
    <w:rsid w:val="005A1CDD"/>
    <w:rsid w:val="005A262C"/>
    <w:rsid w:val="005B0577"/>
    <w:rsid w:val="005B5372"/>
    <w:rsid w:val="005C2187"/>
    <w:rsid w:val="005D2121"/>
    <w:rsid w:val="005E1DBE"/>
    <w:rsid w:val="005E66C6"/>
    <w:rsid w:val="005F1DCD"/>
    <w:rsid w:val="00600DF2"/>
    <w:rsid w:val="00601B50"/>
    <w:rsid w:val="0060284C"/>
    <w:rsid w:val="00642C39"/>
    <w:rsid w:val="00647E00"/>
    <w:rsid w:val="00657804"/>
    <w:rsid w:val="00666BD8"/>
    <w:rsid w:val="00672AEA"/>
    <w:rsid w:val="0069039D"/>
    <w:rsid w:val="00693859"/>
    <w:rsid w:val="00694264"/>
    <w:rsid w:val="006A032A"/>
    <w:rsid w:val="006B17A0"/>
    <w:rsid w:val="006B6125"/>
    <w:rsid w:val="006D39F7"/>
    <w:rsid w:val="006E3F7A"/>
    <w:rsid w:val="006F28D7"/>
    <w:rsid w:val="007221FD"/>
    <w:rsid w:val="00722B93"/>
    <w:rsid w:val="007318DE"/>
    <w:rsid w:val="0074251D"/>
    <w:rsid w:val="00752451"/>
    <w:rsid w:val="00752F7A"/>
    <w:rsid w:val="0075731C"/>
    <w:rsid w:val="0076294D"/>
    <w:rsid w:val="00772BCD"/>
    <w:rsid w:val="00796E8E"/>
    <w:rsid w:val="007A0175"/>
    <w:rsid w:val="007A0E2A"/>
    <w:rsid w:val="007B0E13"/>
    <w:rsid w:val="007D2C1D"/>
    <w:rsid w:val="007E28D7"/>
    <w:rsid w:val="007E36F8"/>
    <w:rsid w:val="00831988"/>
    <w:rsid w:val="00842138"/>
    <w:rsid w:val="00860CC8"/>
    <w:rsid w:val="00863DEC"/>
    <w:rsid w:val="00891055"/>
    <w:rsid w:val="00893638"/>
    <w:rsid w:val="008A4D1E"/>
    <w:rsid w:val="008B0535"/>
    <w:rsid w:val="008D3932"/>
    <w:rsid w:val="008E7426"/>
    <w:rsid w:val="008F1230"/>
    <w:rsid w:val="008F5697"/>
    <w:rsid w:val="00905D7A"/>
    <w:rsid w:val="009154FB"/>
    <w:rsid w:val="00915909"/>
    <w:rsid w:val="00915D08"/>
    <w:rsid w:val="00922AD1"/>
    <w:rsid w:val="00930672"/>
    <w:rsid w:val="00935BC1"/>
    <w:rsid w:val="00943723"/>
    <w:rsid w:val="00960E56"/>
    <w:rsid w:val="00962167"/>
    <w:rsid w:val="009640FF"/>
    <w:rsid w:val="009730E4"/>
    <w:rsid w:val="00976479"/>
    <w:rsid w:val="0098716A"/>
    <w:rsid w:val="009874BC"/>
    <w:rsid w:val="0099011F"/>
    <w:rsid w:val="00990C8B"/>
    <w:rsid w:val="009A3572"/>
    <w:rsid w:val="009A5CC2"/>
    <w:rsid w:val="009C10D1"/>
    <w:rsid w:val="009C7F13"/>
    <w:rsid w:val="009E5A38"/>
    <w:rsid w:val="009F2E05"/>
    <w:rsid w:val="00A13C61"/>
    <w:rsid w:val="00A25CFC"/>
    <w:rsid w:val="00A26644"/>
    <w:rsid w:val="00A266F5"/>
    <w:rsid w:val="00A33786"/>
    <w:rsid w:val="00A34D62"/>
    <w:rsid w:val="00A46E97"/>
    <w:rsid w:val="00A51BB2"/>
    <w:rsid w:val="00A566E8"/>
    <w:rsid w:val="00A62DE6"/>
    <w:rsid w:val="00A64B80"/>
    <w:rsid w:val="00A66984"/>
    <w:rsid w:val="00A759CE"/>
    <w:rsid w:val="00A80366"/>
    <w:rsid w:val="00AA019E"/>
    <w:rsid w:val="00AA63E5"/>
    <w:rsid w:val="00AC6A43"/>
    <w:rsid w:val="00AD02CD"/>
    <w:rsid w:val="00AD7F7C"/>
    <w:rsid w:val="00AE6B99"/>
    <w:rsid w:val="00B106E8"/>
    <w:rsid w:val="00B214F8"/>
    <w:rsid w:val="00B24E1E"/>
    <w:rsid w:val="00B31578"/>
    <w:rsid w:val="00B37364"/>
    <w:rsid w:val="00B40A13"/>
    <w:rsid w:val="00B51464"/>
    <w:rsid w:val="00B60BEC"/>
    <w:rsid w:val="00B679AC"/>
    <w:rsid w:val="00B7597E"/>
    <w:rsid w:val="00B9441F"/>
    <w:rsid w:val="00B96C93"/>
    <w:rsid w:val="00BA005D"/>
    <w:rsid w:val="00BB2F9A"/>
    <w:rsid w:val="00BE6210"/>
    <w:rsid w:val="00BF40E0"/>
    <w:rsid w:val="00C07806"/>
    <w:rsid w:val="00C10BDA"/>
    <w:rsid w:val="00C25627"/>
    <w:rsid w:val="00C32C69"/>
    <w:rsid w:val="00C34B8B"/>
    <w:rsid w:val="00C415C6"/>
    <w:rsid w:val="00C56441"/>
    <w:rsid w:val="00C720B7"/>
    <w:rsid w:val="00C82039"/>
    <w:rsid w:val="00C83D02"/>
    <w:rsid w:val="00C87C34"/>
    <w:rsid w:val="00C907C3"/>
    <w:rsid w:val="00C925A2"/>
    <w:rsid w:val="00CB3A30"/>
    <w:rsid w:val="00CC691C"/>
    <w:rsid w:val="00CD124A"/>
    <w:rsid w:val="00CE5011"/>
    <w:rsid w:val="00CE506D"/>
    <w:rsid w:val="00CF2676"/>
    <w:rsid w:val="00CF68DB"/>
    <w:rsid w:val="00D23BD9"/>
    <w:rsid w:val="00D256A1"/>
    <w:rsid w:val="00D41522"/>
    <w:rsid w:val="00D62F2F"/>
    <w:rsid w:val="00D675E1"/>
    <w:rsid w:val="00D75DE3"/>
    <w:rsid w:val="00D93A0A"/>
    <w:rsid w:val="00DA114A"/>
    <w:rsid w:val="00DA6329"/>
    <w:rsid w:val="00DA7155"/>
    <w:rsid w:val="00DD3619"/>
    <w:rsid w:val="00DD3DB1"/>
    <w:rsid w:val="00DE43E7"/>
    <w:rsid w:val="00DE4AFE"/>
    <w:rsid w:val="00DF08DE"/>
    <w:rsid w:val="00E14721"/>
    <w:rsid w:val="00E31623"/>
    <w:rsid w:val="00E33FD5"/>
    <w:rsid w:val="00E34B24"/>
    <w:rsid w:val="00E35319"/>
    <w:rsid w:val="00E36BDC"/>
    <w:rsid w:val="00E6025A"/>
    <w:rsid w:val="00E60B42"/>
    <w:rsid w:val="00E616B4"/>
    <w:rsid w:val="00E658C5"/>
    <w:rsid w:val="00E717A2"/>
    <w:rsid w:val="00E955F8"/>
    <w:rsid w:val="00E9565D"/>
    <w:rsid w:val="00EA0754"/>
    <w:rsid w:val="00EA43F9"/>
    <w:rsid w:val="00EB3D13"/>
    <w:rsid w:val="00EB6ECB"/>
    <w:rsid w:val="00EC18BD"/>
    <w:rsid w:val="00EE3CAA"/>
    <w:rsid w:val="00EE56A3"/>
    <w:rsid w:val="00EF601B"/>
    <w:rsid w:val="00F177FD"/>
    <w:rsid w:val="00F20784"/>
    <w:rsid w:val="00F354AA"/>
    <w:rsid w:val="00F43207"/>
    <w:rsid w:val="00F447BE"/>
    <w:rsid w:val="00F45865"/>
    <w:rsid w:val="00F6260A"/>
    <w:rsid w:val="00F62848"/>
    <w:rsid w:val="00F65F2C"/>
    <w:rsid w:val="00F708D4"/>
    <w:rsid w:val="00F74D65"/>
    <w:rsid w:val="00FC0EE2"/>
    <w:rsid w:val="00FC4888"/>
    <w:rsid w:val="00FE398C"/>
    <w:rsid w:val="00FE475B"/>
    <w:rsid w:val="00FF6EF3"/>
    <w:rsid w:val="01596278"/>
    <w:rsid w:val="015A19E9"/>
    <w:rsid w:val="019422A6"/>
    <w:rsid w:val="01FF05B0"/>
    <w:rsid w:val="0232241A"/>
    <w:rsid w:val="027C16B8"/>
    <w:rsid w:val="028E5A9C"/>
    <w:rsid w:val="028F6800"/>
    <w:rsid w:val="031228B1"/>
    <w:rsid w:val="03190CB5"/>
    <w:rsid w:val="035E7400"/>
    <w:rsid w:val="03A8028B"/>
    <w:rsid w:val="03F0279C"/>
    <w:rsid w:val="04071455"/>
    <w:rsid w:val="045F6B9B"/>
    <w:rsid w:val="04847570"/>
    <w:rsid w:val="05A92C98"/>
    <w:rsid w:val="065E31C2"/>
    <w:rsid w:val="06615B6D"/>
    <w:rsid w:val="07575E82"/>
    <w:rsid w:val="076369A2"/>
    <w:rsid w:val="081C4DA3"/>
    <w:rsid w:val="08C4286C"/>
    <w:rsid w:val="08D476B6"/>
    <w:rsid w:val="0A2037DA"/>
    <w:rsid w:val="0AF63F3F"/>
    <w:rsid w:val="0BA17386"/>
    <w:rsid w:val="0BE53348"/>
    <w:rsid w:val="0C8D626F"/>
    <w:rsid w:val="0C8F73CE"/>
    <w:rsid w:val="0D611EAB"/>
    <w:rsid w:val="0D7D6378"/>
    <w:rsid w:val="0D9C7FD3"/>
    <w:rsid w:val="0E283076"/>
    <w:rsid w:val="0EE7435D"/>
    <w:rsid w:val="0F2505E2"/>
    <w:rsid w:val="0F7F6343"/>
    <w:rsid w:val="106D0FD1"/>
    <w:rsid w:val="106F4176"/>
    <w:rsid w:val="10AC2665"/>
    <w:rsid w:val="10F11F05"/>
    <w:rsid w:val="118C0549"/>
    <w:rsid w:val="11A40ACA"/>
    <w:rsid w:val="12617F82"/>
    <w:rsid w:val="138777FF"/>
    <w:rsid w:val="13A537F7"/>
    <w:rsid w:val="1437543F"/>
    <w:rsid w:val="14377D86"/>
    <w:rsid w:val="14CD3CDE"/>
    <w:rsid w:val="150F1AEB"/>
    <w:rsid w:val="15B61FB1"/>
    <w:rsid w:val="15C85D32"/>
    <w:rsid w:val="162325FB"/>
    <w:rsid w:val="166158D1"/>
    <w:rsid w:val="16766311"/>
    <w:rsid w:val="16A243A7"/>
    <w:rsid w:val="16AF28F1"/>
    <w:rsid w:val="175956CC"/>
    <w:rsid w:val="184714A5"/>
    <w:rsid w:val="186B6CB6"/>
    <w:rsid w:val="19442733"/>
    <w:rsid w:val="196B16E7"/>
    <w:rsid w:val="198657AE"/>
    <w:rsid w:val="1A4B5D82"/>
    <w:rsid w:val="1AD46292"/>
    <w:rsid w:val="1B532A6B"/>
    <w:rsid w:val="1BD6378F"/>
    <w:rsid w:val="1C2A3ADB"/>
    <w:rsid w:val="1C4F0C9B"/>
    <w:rsid w:val="1CCB2BC8"/>
    <w:rsid w:val="1CCD4925"/>
    <w:rsid w:val="1D6B4867"/>
    <w:rsid w:val="1DB55B8D"/>
    <w:rsid w:val="1EC40BE7"/>
    <w:rsid w:val="1FC102B2"/>
    <w:rsid w:val="20F3093F"/>
    <w:rsid w:val="21C65517"/>
    <w:rsid w:val="22BA725A"/>
    <w:rsid w:val="23107653"/>
    <w:rsid w:val="2347066D"/>
    <w:rsid w:val="234863C1"/>
    <w:rsid w:val="236B6530"/>
    <w:rsid w:val="237F4701"/>
    <w:rsid w:val="23A02DC6"/>
    <w:rsid w:val="2412765E"/>
    <w:rsid w:val="242022A8"/>
    <w:rsid w:val="242D4A2F"/>
    <w:rsid w:val="24635DDC"/>
    <w:rsid w:val="24A26144"/>
    <w:rsid w:val="24BE1264"/>
    <w:rsid w:val="25F71631"/>
    <w:rsid w:val="25FD5DBC"/>
    <w:rsid w:val="263A2B6C"/>
    <w:rsid w:val="26EC20B9"/>
    <w:rsid w:val="27037402"/>
    <w:rsid w:val="27BA21B7"/>
    <w:rsid w:val="29366156"/>
    <w:rsid w:val="29736934"/>
    <w:rsid w:val="2A270526"/>
    <w:rsid w:val="2A703C9F"/>
    <w:rsid w:val="2B81634D"/>
    <w:rsid w:val="2C3B538F"/>
    <w:rsid w:val="2CEB4197"/>
    <w:rsid w:val="2D69444F"/>
    <w:rsid w:val="2E0D7FF2"/>
    <w:rsid w:val="2E493EAA"/>
    <w:rsid w:val="2F407445"/>
    <w:rsid w:val="2F7C1112"/>
    <w:rsid w:val="2FB27442"/>
    <w:rsid w:val="2FF10740"/>
    <w:rsid w:val="30300122"/>
    <w:rsid w:val="304C3BC8"/>
    <w:rsid w:val="305B0BFB"/>
    <w:rsid w:val="30D034D8"/>
    <w:rsid w:val="30FA224E"/>
    <w:rsid w:val="31AB3B82"/>
    <w:rsid w:val="31CD0D39"/>
    <w:rsid w:val="330F38C3"/>
    <w:rsid w:val="335A3AF3"/>
    <w:rsid w:val="343279D1"/>
    <w:rsid w:val="34E03158"/>
    <w:rsid w:val="35116C9E"/>
    <w:rsid w:val="352F0DFC"/>
    <w:rsid w:val="35BC359E"/>
    <w:rsid w:val="35E849F0"/>
    <w:rsid w:val="36176A26"/>
    <w:rsid w:val="364C7573"/>
    <w:rsid w:val="367E0853"/>
    <w:rsid w:val="367F170F"/>
    <w:rsid w:val="373C29F8"/>
    <w:rsid w:val="3747757E"/>
    <w:rsid w:val="38553A20"/>
    <w:rsid w:val="38651C38"/>
    <w:rsid w:val="38704314"/>
    <w:rsid w:val="38AC78FA"/>
    <w:rsid w:val="3912533D"/>
    <w:rsid w:val="393F42CA"/>
    <w:rsid w:val="3A75689D"/>
    <w:rsid w:val="3B7C3B77"/>
    <w:rsid w:val="3BA20EFF"/>
    <w:rsid w:val="3BFC64A2"/>
    <w:rsid w:val="3C4036DC"/>
    <w:rsid w:val="3CB64301"/>
    <w:rsid w:val="3CC80A7A"/>
    <w:rsid w:val="3D102D0C"/>
    <w:rsid w:val="3D506799"/>
    <w:rsid w:val="3E4B7EE3"/>
    <w:rsid w:val="3F5302CB"/>
    <w:rsid w:val="3FB337BE"/>
    <w:rsid w:val="3FE77232"/>
    <w:rsid w:val="40100D2E"/>
    <w:rsid w:val="40B33362"/>
    <w:rsid w:val="40DF6392"/>
    <w:rsid w:val="42220C2D"/>
    <w:rsid w:val="4252158D"/>
    <w:rsid w:val="42705732"/>
    <w:rsid w:val="42FC147E"/>
    <w:rsid w:val="431A6215"/>
    <w:rsid w:val="437E018E"/>
    <w:rsid w:val="439B34AD"/>
    <w:rsid w:val="43BB30E7"/>
    <w:rsid w:val="43C33D49"/>
    <w:rsid w:val="44492569"/>
    <w:rsid w:val="44FF5255"/>
    <w:rsid w:val="450D34CE"/>
    <w:rsid w:val="45202995"/>
    <w:rsid w:val="462C3E28"/>
    <w:rsid w:val="46AD64A9"/>
    <w:rsid w:val="483671E0"/>
    <w:rsid w:val="48401E0D"/>
    <w:rsid w:val="48BF0F83"/>
    <w:rsid w:val="48F32361"/>
    <w:rsid w:val="494A0E00"/>
    <w:rsid w:val="49695393"/>
    <w:rsid w:val="49B714FC"/>
    <w:rsid w:val="49BD3CD2"/>
    <w:rsid w:val="4A5D6CA6"/>
    <w:rsid w:val="4A62606A"/>
    <w:rsid w:val="4B863FDA"/>
    <w:rsid w:val="4BB117B2"/>
    <w:rsid w:val="4CD6545F"/>
    <w:rsid w:val="4CE94821"/>
    <w:rsid w:val="4CFF70C4"/>
    <w:rsid w:val="4D87403A"/>
    <w:rsid w:val="4D9104B7"/>
    <w:rsid w:val="4D9D79B3"/>
    <w:rsid w:val="4DF162BE"/>
    <w:rsid w:val="4F1638C7"/>
    <w:rsid w:val="4F8545A9"/>
    <w:rsid w:val="4FD33566"/>
    <w:rsid w:val="512E26E0"/>
    <w:rsid w:val="51E657D3"/>
    <w:rsid w:val="51EE2744"/>
    <w:rsid w:val="52DE1903"/>
    <w:rsid w:val="52E80BEB"/>
    <w:rsid w:val="536D5F87"/>
    <w:rsid w:val="53E43F94"/>
    <w:rsid w:val="54410091"/>
    <w:rsid w:val="5506256B"/>
    <w:rsid w:val="55302C55"/>
    <w:rsid w:val="55DA73FC"/>
    <w:rsid w:val="57302126"/>
    <w:rsid w:val="57CE15FC"/>
    <w:rsid w:val="58522372"/>
    <w:rsid w:val="58704048"/>
    <w:rsid w:val="588F2635"/>
    <w:rsid w:val="58A13A98"/>
    <w:rsid w:val="58A837E2"/>
    <w:rsid w:val="591976B8"/>
    <w:rsid w:val="59496068"/>
    <w:rsid w:val="597B7BEF"/>
    <w:rsid w:val="59990B7E"/>
    <w:rsid w:val="59DA7777"/>
    <w:rsid w:val="5A582CB8"/>
    <w:rsid w:val="5B840D74"/>
    <w:rsid w:val="5C2A6B4C"/>
    <w:rsid w:val="5C31723F"/>
    <w:rsid w:val="5C3B496D"/>
    <w:rsid w:val="5CC76201"/>
    <w:rsid w:val="5CEE19DF"/>
    <w:rsid w:val="5D075BDA"/>
    <w:rsid w:val="5D4B5920"/>
    <w:rsid w:val="5E4A0242"/>
    <w:rsid w:val="5E5A2F18"/>
    <w:rsid w:val="5E6C2A09"/>
    <w:rsid w:val="5EB2259A"/>
    <w:rsid w:val="5F1A793B"/>
    <w:rsid w:val="5F2D4540"/>
    <w:rsid w:val="60CC028A"/>
    <w:rsid w:val="60D71FFC"/>
    <w:rsid w:val="60D97EB0"/>
    <w:rsid w:val="61115D9E"/>
    <w:rsid w:val="61F627B5"/>
    <w:rsid w:val="622C5484"/>
    <w:rsid w:val="624F2F20"/>
    <w:rsid w:val="6268123D"/>
    <w:rsid w:val="62810C77"/>
    <w:rsid w:val="638210D3"/>
    <w:rsid w:val="63B75221"/>
    <w:rsid w:val="63EA386F"/>
    <w:rsid w:val="63EC52DF"/>
    <w:rsid w:val="643D0718"/>
    <w:rsid w:val="644F748B"/>
    <w:rsid w:val="64A0204F"/>
    <w:rsid w:val="65844E80"/>
    <w:rsid w:val="65F242EE"/>
    <w:rsid w:val="65F25193"/>
    <w:rsid w:val="662446C4"/>
    <w:rsid w:val="666D2B51"/>
    <w:rsid w:val="670009BB"/>
    <w:rsid w:val="672523C7"/>
    <w:rsid w:val="67386679"/>
    <w:rsid w:val="674448A8"/>
    <w:rsid w:val="675504BB"/>
    <w:rsid w:val="675F7199"/>
    <w:rsid w:val="67A9053E"/>
    <w:rsid w:val="68347CAB"/>
    <w:rsid w:val="685E3EBD"/>
    <w:rsid w:val="6903062D"/>
    <w:rsid w:val="699833FF"/>
    <w:rsid w:val="69B9159D"/>
    <w:rsid w:val="69C2222A"/>
    <w:rsid w:val="6ABF49BB"/>
    <w:rsid w:val="6B405AFC"/>
    <w:rsid w:val="6C4072A8"/>
    <w:rsid w:val="6C676734"/>
    <w:rsid w:val="6C6B0957"/>
    <w:rsid w:val="6C77379F"/>
    <w:rsid w:val="6C797180"/>
    <w:rsid w:val="6C81017A"/>
    <w:rsid w:val="6C8A25A5"/>
    <w:rsid w:val="6CED1CB3"/>
    <w:rsid w:val="6CF05300"/>
    <w:rsid w:val="6D851B6A"/>
    <w:rsid w:val="6E464886"/>
    <w:rsid w:val="6EEE3AC1"/>
    <w:rsid w:val="6EF54E4F"/>
    <w:rsid w:val="6FDA44DD"/>
    <w:rsid w:val="70C43849"/>
    <w:rsid w:val="715F4179"/>
    <w:rsid w:val="717F7716"/>
    <w:rsid w:val="718B3849"/>
    <w:rsid w:val="71AD608C"/>
    <w:rsid w:val="71DC4CD5"/>
    <w:rsid w:val="72882D68"/>
    <w:rsid w:val="728E2192"/>
    <w:rsid w:val="72BD71E4"/>
    <w:rsid w:val="72CC459A"/>
    <w:rsid w:val="72FA6ED8"/>
    <w:rsid w:val="73652C13"/>
    <w:rsid w:val="73AA6208"/>
    <w:rsid w:val="73E81C9A"/>
    <w:rsid w:val="749173C8"/>
    <w:rsid w:val="749F2009"/>
    <w:rsid w:val="7532049A"/>
    <w:rsid w:val="753A2EE2"/>
    <w:rsid w:val="75830C51"/>
    <w:rsid w:val="75C37848"/>
    <w:rsid w:val="761348DE"/>
    <w:rsid w:val="76360227"/>
    <w:rsid w:val="76E9529A"/>
    <w:rsid w:val="778E4093"/>
    <w:rsid w:val="78363FB3"/>
    <w:rsid w:val="78620F7F"/>
    <w:rsid w:val="78670B6C"/>
    <w:rsid w:val="78FB7506"/>
    <w:rsid w:val="79256331"/>
    <w:rsid w:val="79674B9C"/>
    <w:rsid w:val="79A33912"/>
    <w:rsid w:val="7A6E0921"/>
    <w:rsid w:val="7AE04C06"/>
    <w:rsid w:val="7B8B4B71"/>
    <w:rsid w:val="7D3B2F60"/>
    <w:rsid w:val="7D6E6A8B"/>
    <w:rsid w:val="7D711ED1"/>
    <w:rsid w:val="7E19249B"/>
    <w:rsid w:val="7F0D32E9"/>
    <w:rsid w:val="7FB60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0"/>
    <w:rPr>
      <w:b/>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qFormat/>
    <w:uiPriority w:val="99"/>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8411</Words>
  <Characters>9883</Characters>
  <Lines>115</Lines>
  <Paragraphs>32</Paragraphs>
  <TotalTime>0</TotalTime>
  <ScaleCrop>false</ScaleCrop>
  <LinksUpToDate>false</LinksUpToDate>
  <CharactersWithSpaces>12192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2021-02-01T00:18:00Z</dcterms:created>
  <dc:creator>刘海</dc:creator>
  <cp:lastModifiedBy>Administrator</cp:lastModifiedBy>
  <cp:lastPrinted>2022-03-09T01:51:00Z</cp:lastPrinted>
  <dcterms:modified xsi:type="dcterms:W3CDTF">2023-02-09T03:14:39Z</dcterms:modified>
  <cp:revision>243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8C2BF2DF5B6443F78445BE58F327FA83</vt:lpwstr>
  </property>
</Properties>
</file>